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291F22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291F22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3A3886" w:rsidRPr="00291F22" w:rsidRDefault="003A3886" w:rsidP="003A3886">
      <w:pPr>
        <w:jc w:val="center"/>
        <w:rPr>
          <w:b/>
          <w:bCs/>
          <w:sz w:val="28"/>
          <w:szCs w:val="28"/>
          <w:lang w:val="uk-UA"/>
        </w:rPr>
      </w:pPr>
      <w:r w:rsidRPr="00291F22">
        <w:rPr>
          <w:b/>
          <w:bCs/>
          <w:sz w:val="28"/>
          <w:szCs w:val="28"/>
          <w:lang w:val="uk-UA"/>
        </w:rPr>
        <w:t xml:space="preserve">Затвердження проєкту землеустрою щодо відведення земельної ділянки </w:t>
      </w:r>
      <w:r w:rsidR="00250AE2" w:rsidRPr="00291F22">
        <w:rPr>
          <w:b/>
          <w:bCs/>
          <w:sz w:val="28"/>
          <w:szCs w:val="28"/>
          <w:lang w:val="uk-UA"/>
        </w:rPr>
        <w:t xml:space="preserve">в порядку безоплатної приватизації </w:t>
      </w:r>
      <w:r w:rsidRPr="00291F22">
        <w:rPr>
          <w:b/>
          <w:bCs/>
          <w:sz w:val="28"/>
          <w:szCs w:val="28"/>
          <w:lang w:val="uk-UA"/>
        </w:rPr>
        <w:t xml:space="preserve">та надання </w:t>
      </w:r>
      <w:r w:rsidR="00250AE2" w:rsidRPr="00291F22">
        <w:rPr>
          <w:b/>
          <w:bCs/>
          <w:sz w:val="28"/>
          <w:szCs w:val="28"/>
          <w:lang w:val="uk-UA"/>
        </w:rPr>
        <w:t>її</w:t>
      </w:r>
      <w:r w:rsidRPr="00291F22">
        <w:rPr>
          <w:b/>
          <w:bCs/>
          <w:sz w:val="28"/>
          <w:szCs w:val="28"/>
          <w:lang w:val="uk-UA"/>
        </w:rPr>
        <w:t xml:space="preserve"> у власність </w:t>
      </w:r>
    </w:p>
    <w:p w:rsidR="00F5658A" w:rsidRPr="00291F22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291F22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291F22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291F22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291F22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291F22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291F22">
        <w:rPr>
          <w:b/>
          <w:bCs/>
          <w:sz w:val="28"/>
          <w:szCs w:val="28"/>
          <w:lang w:val="uk-UA"/>
        </w:rPr>
        <w:t>001</w:t>
      </w:r>
      <w:r w:rsidR="00AC29A7" w:rsidRPr="00291F22">
        <w:rPr>
          <w:b/>
          <w:bCs/>
          <w:sz w:val="28"/>
          <w:szCs w:val="28"/>
          <w:lang w:val="uk-UA"/>
        </w:rPr>
        <w:t>82</w:t>
      </w:r>
    </w:p>
    <w:p w:rsidR="00291F22" w:rsidRDefault="00291F22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rStyle w:val="2"/>
                <w:b w:val="0"/>
              </w:rPr>
              <w:t>1.</w:t>
            </w:r>
            <w:r w:rsidR="00563EA1" w:rsidRPr="00291F22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291F2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rStyle w:val="2"/>
                <w:b w:val="0"/>
              </w:rPr>
              <w:t>1.</w:t>
            </w:r>
            <w:r w:rsidR="005C7DEA" w:rsidRPr="00291F22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291F22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291F22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rStyle w:val="2"/>
                <w:b w:val="0"/>
              </w:rPr>
              <w:t>1.</w:t>
            </w:r>
            <w:r w:rsidR="005C7DEA" w:rsidRPr="00291F22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291F22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291F22">
              <w:rPr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291F22" w:rsidRDefault="005C7DEA" w:rsidP="00DB0A60">
            <w:pPr>
              <w:spacing w:line="300" w:lineRule="exact"/>
              <w:rPr>
                <w:lang w:val="uk-UA"/>
              </w:rPr>
            </w:pPr>
            <w:r w:rsidRPr="00291F22">
              <w:rPr>
                <w:lang w:val="uk-UA"/>
              </w:rPr>
              <w:t>телефон: (</w:t>
            </w:r>
            <w:r w:rsidR="009C43FD" w:rsidRPr="00291F22">
              <w:rPr>
                <w:iCs/>
                <w:lang w:val="uk-UA"/>
              </w:rPr>
              <w:t>0505833360</w:t>
            </w:r>
            <w:r w:rsidRPr="00291F22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uk-UA"/>
              </w:rPr>
            </w:pPr>
            <w:r w:rsidRPr="00291F22">
              <w:rPr>
                <w:lang w:val="uk-UA"/>
              </w:rPr>
              <w:t>e</w:t>
            </w:r>
            <w:r w:rsidRPr="00291F2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291F22" w:rsidRPr="00576F66">
                <w:rPr>
                  <w:rStyle w:val="ac"/>
                  <w:lang w:val="en-US"/>
                </w:rPr>
                <w:t>zem</w:t>
              </w:r>
              <w:r w:rsidR="00291F22" w:rsidRPr="00441217">
                <w:rPr>
                  <w:rStyle w:val="ac"/>
                </w:rPr>
                <w:t>_</w:t>
              </w:r>
              <w:r w:rsidR="00291F22" w:rsidRPr="00576F66">
                <w:rPr>
                  <w:rStyle w:val="ac"/>
                  <w:lang w:val="en-US"/>
                </w:rPr>
                <w:t>pavlik</w:t>
              </w:r>
              <w:r w:rsidR="00291F22" w:rsidRPr="00441217">
                <w:rPr>
                  <w:rStyle w:val="ac"/>
                </w:rPr>
                <w:t>@</w:t>
              </w:r>
              <w:r w:rsidR="00291F22" w:rsidRPr="00576F66">
                <w:rPr>
                  <w:rStyle w:val="ac"/>
                  <w:lang w:val="en-US"/>
                </w:rPr>
                <w:t>ukr</w:t>
              </w:r>
              <w:r w:rsidR="00291F22" w:rsidRPr="00441217">
                <w:rPr>
                  <w:rStyle w:val="ac"/>
                </w:rPr>
                <w:t>.</w:t>
              </w:r>
              <w:r w:rsidR="00291F22" w:rsidRPr="00576F66">
                <w:rPr>
                  <w:rStyle w:val="ac"/>
                  <w:lang w:val="en-US"/>
                </w:rPr>
                <w:t>net</w:t>
              </w:r>
            </w:hyperlink>
          </w:p>
          <w:p w:rsidR="00291F22" w:rsidRPr="00291F22" w:rsidRDefault="00291F22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291F22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291F22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291F22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291F22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291F22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291F22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291F22">
              <w:rPr>
                <w:bCs/>
                <w:sz w:val="24"/>
                <w:szCs w:val="24"/>
              </w:rPr>
              <w:t>Контактний</w:t>
            </w:r>
            <w:r w:rsidRPr="00291F22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291F22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291F22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291F22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291F22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291F22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291F22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291F22">
              <w:rPr>
                <w:spacing w:val="-5"/>
                <w:sz w:val="24"/>
              </w:rPr>
              <w:t>2</w:t>
            </w:r>
            <w:r w:rsidR="005C7DEA" w:rsidRPr="00291F22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291F22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291F22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291F22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291F22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291F22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291F22">
              <w:rPr>
                <w:sz w:val="24"/>
                <w:szCs w:val="24"/>
              </w:rPr>
              <w:t>Телефон: 0995516661</w:t>
            </w:r>
          </w:p>
          <w:p w:rsidR="0036446C" w:rsidRPr="00291F22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91F22">
              <w:rPr>
                <w:sz w:val="24"/>
                <w:szCs w:val="24"/>
                <w:lang w:val="en-US"/>
              </w:rPr>
              <w:t>e</w:t>
            </w:r>
            <w:r w:rsidRPr="00291F22">
              <w:rPr>
                <w:sz w:val="24"/>
                <w:szCs w:val="24"/>
                <w:lang w:val="ru-RU"/>
              </w:rPr>
              <w:t>-</w:t>
            </w:r>
            <w:r w:rsidRPr="00291F22">
              <w:rPr>
                <w:sz w:val="24"/>
                <w:szCs w:val="24"/>
                <w:lang w:val="en-US"/>
              </w:rPr>
              <w:t>mail</w:t>
            </w:r>
            <w:r w:rsidRPr="00291F22">
              <w:rPr>
                <w:sz w:val="24"/>
                <w:szCs w:val="24"/>
              </w:rPr>
              <w:t xml:space="preserve">: </w:t>
            </w:r>
            <w:hyperlink r:id="rId7" w:history="1">
              <w:r w:rsidRPr="00291F22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291F22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291F22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291F22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291F22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291F22">
              <w:rPr>
                <w:sz w:val="24"/>
                <w:szCs w:val="24"/>
                <w:lang w:val="ru-RU"/>
              </w:rPr>
              <w:t xml:space="preserve"> </w:t>
            </w:r>
            <w:r w:rsidRPr="00291F22">
              <w:rPr>
                <w:sz w:val="24"/>
                <w:szCs w:val="24"/>
                <w:lang w:val="en-US"/>
              </w:rPr>
              <w:t>https</w:t>
            </w:r>
            <w:r w:rsidRPr="00291F22">
              <w:rPr>
                <w:sz w:val="24"/>
                <w:szCs w:val="24"/>
              </w:rPr>
              <w:t>://</w:t>
            </w:r>
            <w:r w:rsidRPr="00291F22">
              <w:rPr>
                <w:sz w:val="24"/>
                <w:szCs w:val="24"/>
                <w:lang w:val="en-US"/>
              </w:rPr>
              <w:t>pavlogradmrada</w:t>
            </w:r>
            <w:r w:rsidRPr="00291F22">
              <w:rPr>
                <w:sz w:val="24"/>
                <w:szCs w:val="24"/>
                <w:lang w:val="ru-RU"/>
              </w:rPr>
              <w:t>.</w:t>
            </w:r>
            <w:r w:rsidRPr="00291F22">
              <w:rPr>
                <w:sz w:val="24"/>
                <w:szCs w:val="24"/>
                <w:lang w:val="en-US"/>
              </w:rPr>
              <w:t>dp</w:t>
            </w:r>
            <w:r w:rsidRPr="00291F22">
              <w:rPr>
                <w:sz w:val="24"/>
                <w:szCs w:val="24"/>
                <w:lang w:val="ru-RU"/>
              </w:rPr>
              <w:t>.</w:t>
            </w:r>
            <w:r w:rsidRPr="00291F22">
              <w:rPr>
                <w:sz w:val="24"/>
                <w:szCs w:val="24"/>
                <w:lang w:val="en-US"/>
              </w:rPr>
              <w:t>gov</w:t>
            </w:r>
            <w:r w:rsidRPr="00291F22">
              <w:rPr>
                <w:sz w:val="24"/>
                <w:szCs w:val="24"/>
                <w:lang w:val="ru-RU"/>
              </w:rPr>
              <w:t>.</w:t>
            </w:r>
            <w:r w:rsidRPr="00291F22">
              <w:rPr>
                <w:sz w:val="24"/>
                <w:szCs w:val="24"/>
                <w:lang w:val="en-US"/>
              </w:rPr>
              <w:t>ua</w:t>
            </w:r>
          </w:p>
          <w:p w:rsidR="0036446C" w:rsidRPr="00291F22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291F22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291F22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291F22">
              <w:rPr>
                <w:sz w:val="24"/>
                <w:szCs w:val="24"/>
              </w:rPr>
              <w:t xml:space="preserve"> без перерви. Прийомні години понеділок, вівторок, </w:t>
            </w:r>
            <w:r w:rsidR="00AC29A7" w:rsidRPr="00291F22">
              <w:rPr>
                <w:sz w:val="24"/>
                <w:szCs w:val="24"/>
              </w:rPr>
              <w:lastRenderedPageBreak/>
              <w:t>середа, п’</w:t>
            </w:r>
            <w:r w:rsidR="00E02942" w:rsidRPr="00291F22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63EA1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3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5E4826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3A3886">
              <w:rPr>
                <w:lang w:val="uk-UA"/>
              </w:rPr>
              <w:t xml:space="preserve"> 79-1, 116, </w:t>
            </w:r>
            <w:r w:rsidR="00250AE2">
              <w:rPr>
                <w:lang w:val="uk-UA"/>
              </w:rPr>
              <w:t>118,</w:t>
            </w:r>
            <w:r>
              <w:rPr>
                <w:lang w:val="uk-UA"/>
              </w:rPr>
              <w:t xml:space="preserve"> 123</w:t>
            </w:r>
            <w:r w:rsidR="00AC29A7">
              <w:rPr>
                <w:lang w:val="uk-UA"/>
              </w:rPr>
              <w:t>, 186</w:t>
            </w:r>
            <w:r>
              <w:rPr>
                <w:lang w:val="uk-UA"/>
              </w:rPr>
              <w:t xml:space="preserve"> Земельного кодексу України, ст. 26, 59 ЗУ ”Про місцеве самоврядування в Україні”, ст. 50 ЗУ «Про землеустрій»,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5E4826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63EA1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4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4450CC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5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41217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441217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4450CC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6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3A3886" w:rsidRDefault="003A3886" w:rsidP="00441217">
            <w:pPr>
              <w:snapToGrid w:val="0"/>
              <w:jc w:val="both"/>
              <w:rPr>
                <w:rFonts w:eastAsia="Arial"/>
                <w:lang w:val="uk-UA"/>
              </w:rPr>
            </w:pPr>
            <w:r>
              <w:rPr>
                <w:lang w:val="uk-UA"/>
              </w:rPr>
              <w:t>1. З</w:t>
            </w:r>
            <w:r>
              <w:rPr>
                <w:rFonts w:eastAsia="Arial"/>
                <w:lang w:val="uk-UA"/>
              </w:rPr>
              <w:t>аява.</w:t>
            </w:r>
            <w:r>
              <w:rPr>
                <w:lang w:val="uk-UA"/>
              </w:rPr>
              <w:t xml:space="preserve"> </w:t>
            </w:r>
          </w:p>
          <w:p w:rsidR="003A3886" w:rsidRDefault="003A3886" w:rsidP="00441217">
            <w:pPr>
              <w:snapToGrid w:val="0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2.</w:t>
            </w:r>
            <w:r>
              <w:rPr>
                <w:lang w:val="uk-UA"/>
              </w:rPr>
              <w:t xml:space="preserve"> Проект землеустрою щодо відведення земельної ді</w:t>
            </w:r>
            <w:r w:rsidR="005E4826">
              <w:rPr>
                <w:lang w:val="uk-UA"/>
              </w:rPr>
              <w:t>лянки</w:t>
            </w:r>
            <w:r>
              <w:rPr>
                <w:lang w:val="uk-UA"/>
              </w:rPr>
              <w:t>.</w:t>
            </w:r>
          </w:p>
          <w:p w:rsidR="005C7DEA" w:rsidRPr="00493E23" w:rsidRDefault="003A3886" w:rsidP="004412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Копія витягу з Державного земельного кадастру про земельну ділянку.</w:t>
            </w:r>
          </w:p>
        </w:tc>
      </w:tr>
      <w:tr w:rsidR="005C7DEA" w:rsidRPr="00441217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291F22" w:rsidRDefault="008674D8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7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</w:t>
            </w:r>
            <w:r w:rsidRPr="00A74DD7">
              <w:rPr>
                <w:lang w:val="uk-UA"/>
              </w:rPr>
              <w:lastRenderedPageBreak/>
              <w:t>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3A3886" w:rsidRDefault="003A3886" w:rsidP="003A388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Спеціаліст відділу земельно-ринкових відносин міської ради опрацьовує пакет документів та готує проект рішення на чергову або позачергову сесію міської ради про затвердження проекту землеустрою що</w:t>
            </w:r>
            <w:r w:rsidR="00441217">
              <w:rPr>
                <w:lang w:val="uk-UA"/>
              </w:rPr>
              <w:t>до відведення земельної ділянки.</w:t>
            </w:r>
          </w:p>
          <w:p w:rsidR="002D2CAC" w:rsidRPr="008451CD" w:rsidRDefault="003A3886" w:rsidP="003A3886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Після прийняття рішення міською радою  в строк, не більше 10  робочих днів відділ земельно-ринкових відносин міської ради передає представнику ЦНАП витяги з рішення міської ради для передачі їх заявнику.  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8674D8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lastRenderedPageBreak/>
              <w:t>8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441217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C709A2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9</w:t>
            </w:r>
            <w:r w:rsidR="005C7DEA"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D26853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ч.</w:t>
            </w:r>
            <w:r w:rsidR="00250AE2">
              <w:rPr>
                <w:lang w:val="uk-UA"/>
              </w:rPr>
              <w:t>9</w:t>
            </w:r>
            <w:r>
              <w:rPr>
                <w:lang w:val="uk-UA"/>
              </w:rPr>
              <w:t xml:space="preserve"> ст.</w:t>
            </w:r>
            <w:r w:rsidR="00250AE2">
              <w:rPr>
                <w:lang w:val="uk-UA"/>
              </w:rPr>
              <w:t>118</w:t>
            </w:r>
            <w:r w:rsidR="00C709A2">
              <w:rPr>
                <w:lang w:val="uk-UA"/>
              </w:rPr>
              <w:t xml:space="preserve"> Земельного кодексу України у </w:t>
            </w:r>
            <w:r w:rsidR="00AC29A7">
              <w:rPr>
                <w:lang w:val="uk-UA"/>
              </w:rPr>
              <w:t>двотижневий строк</w:t>
            </w:r>
            <w:r w:rsidR="00C709A2">
              <w:rPr>
                <w:lang w:val="uk-UA"/>
              </w:rPr>
              <w:t>.</w:t>
            </w:r>
          </w:p>
          <w:p w:rsidR="00C709A2" w:rsidRPr="00AC29A7" w:rsidRDefault="00C709A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C7DEA" w:rsidP="00DB0A60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1</w:t>
            </w:r>
            <w:r w:rsidR="00C709A2" w:rsidRPr="00291F22">
              <w:rPr>
                <w:lang w:val="uk-UA"/>
              </w:rPr>
              <w:t>0</w:t>
            </w:r>
            <w:r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5C7DEA" w:rsidRPr="00D6583F" w:rsidRDefault="00BC642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Результати голосування депутатів на сесії міської ради.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C7DEA" w:rsidP="009B75E3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lastRenderedPageBreak/>
              <w:t>1</w:t>
            </w:r>
            <w:r w:rsidR="00BC6428" w:rsidRPr="00291F22">
              <w:rPr>
                <w:lang w:val="uk-UA"/>
              </w:rPr>
              <w:t>1</w:t>
            </w:r>
            <w:r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291F22" w:rsidRDefault="005C7DEA" w:rsidP="009B75E3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t>1</w:t>
            </w:r>
            <w:r w:rsidR="00BC6428" w:rsidRPr="00291F22">
              <w:rPr>
                <w:lang w:val="uk-UA"/>
              </w:rPr>
              <w:t>2</w:t>
            </w:r>
            <w:r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</w:t>
            </w:r>
            <w:r w:rsidR="00441217">
              <w:rPr>
                <w:lang w:val="uk-UA"/>
              </w:rPr>
              <w:t xml:space="preserve"> випадках, передбачених законом;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291F22" w:rsidRDefault="005C7DEA" w:rsidP="009B75E3">
            <w:pPr>
              <w:jc w:val="center"/>
              <w:rPr>
                <w:lang w:val="uk-UA"/>
              </w:rPr>
            </w:pPr>
            <w:r w:rsidRPr="00291F22">
              <w:rPr>
                <w:lang w:val="uk-UA"/>
              </w:rPr>
              <w:lastRenderedPageBreak/>
              <w:t>1</w:t>
            </w:r>
            <w:r w:rsidR="00AC29A7" w:rsidRPr="00291F22">
              <w:rPr>
                <w:lang w:val="uk-UA"/>
              </w:rPr>
              <w:t>3</w:t>
            </w:r>
            <w:r w:rsidRPr="00291F22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291F22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291F22" w:rsidRDefault="00291F22">
      <w:pPr>
        <w:rPr>
          <w:lang w:val="uk-UA"/>
        </w:rPr>
      </w:pPr>
    </w:p>
    <w:p w:rsidR="008776F1" w:rsidRDefault="008776F1" w:rsidP="008776F1">
      <w:pPr>
        <w:rPr>
          <w:lang w:val="uk-UA"/>
        </w:rPr>
      </w:pPr>
      <w:r>
        <w:rPr>
          <w:lang w:val="uk-UA"/>
        </w:rPr>
        <w:t>Начальник відділу</w:t>
      </w:r>
    </w:p>
    <w:p w:rsidR="008776F1" w:rsidRDefault="008776F1" w:rsidP="008776F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8776F1" w:rsidRPr="005C7DEA" w:rsidRDefault="008776F1">
      <w:pPr>
        <w:rPr>
          <w:lang w:val="uk-UA"/>
        </w:rPr>
      </w:pPr>
    </w:p>
    <w:sectPr w:rsidR="008776F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EF" w:rsidRDefault="00787EEF">
      <w:r>
        <w:separator/>
      </w:r>
    </w:p>
  </w:endnote>
  <w:endnote w:type="continuationSeparator" w:id="1">
    <w:p w:rsidR="00787EEF" w:rsidRDefault="00787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EF" w:rsidRDefault="00787EEF">
      <w:r>
        <w:separator/>
      </w:r>
    </w:p>
  </w:footnote>
  <w:footnote w:type="continuationSeparator" w:id="1">
    <w:p w:rsidR="00787EEF" w:rsidRDefault="00787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3A5A3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3A5A33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217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D1E51"/>
    <w:rsid w:val="00140692"/>
    <w:rsid w:val="00173B53"/>
    <w:rsid w:val="00176A0B"/>
    <w:rsid w:val="00192220"/>
    <w:rsid w:val="001F0D8B"/>
    <w:rsid w:val="001F2251"/>
    <w:rsid w:val="00200B28"/>
    <w:rsid w:val="002103E2"/>
    <w:rsid w:val="00250AE2"/>
    <w:rsid w:val="0025121D"/>
    <w:rsid w:val="00281A1D"/>
    <w:rsid w:val="00291F22"/>
    <w:rsid w:val="002D2CAC"/>
    <w:rsid w:val="002D3347"/>
    <w:rsid w:val="002D4026"/>
    <w:rsid w:val="002E34DE"/>
    <w:rsid w:val="002F5182"/>
    <w:rsid w:val="0035588A"/>
    <w:rsid w:val="0036446C"/>
    <w:rsid w:val="00372786"/>
    <w:rsid w:val="003A3886"/>
    <w:rsid w:val="003A5A33"/>
    <w:rsid w:val="003E3075"/>
    <w:rsid w:val="00423854"/>
    <w:rsid w:val="00424E04"/>
    <w:rsid w:val="00441217"/>
    <w:rsid w:val="004450CC"/>
    <w:rsid w:val="00483DCE"/>
    <w:rsid w:val="004B4F47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093B"/>
    <w:rsid w:val="00563EA1"/>
    <w:rsid w:val="00567412"/>
    <w:rsid w:val="005A7C69"/>
    <w:rsid w:val="005C7DEA"/>
    <w:rsid w:val="005E4826"/>
    <w:rsid w:val="005F55C8"/>
    <w:rsid w:val="006017C0"/>
    <w:rsid w:val="006151A4"/>
    <w:rsid w:val="00623D76"/>
    <w:rsid w:val="00674B38"/>
    <w:rsid w:val="00694945"/>
    <w:rsid w:val="006D6773"/>
    <w:rsid w:val="006E3C2E"/>
    <w:rsid w:val="00731C8D"/>
    <w:rsid w:val="0078433B"/>
    <w:rsid w:val="00787EEF"/>
    <w:rsid w:val="007C673A"/>
    <w:rsid w:val="00810499"/>
    <w:rsid w:val="00831918"/>
    <w:rsid w:val="0083765D"/>
    <w:rsid w:val="00837B85"/>
    <w:rsid w:val="00844959"/>
    <w:rsid w:val="008451CD"/>
    <w:rsid w:val="008674D8"/>
    <w:rsid w:val="008776F1"/>
    <w:rsid w:val="008B070B"/>
    <w:rsid w:val="008B3DC2"/>
    <w:rsid w:val="00971F48"/>
    <w:rsid w:val="00997C51"/>
    <w:rsid w:val="009B75E3"/>
    <w:rsid w:val="009C43FD"/>
    <w:rsid w:val="00A01E29"/>
    <w:rsid w:val="00A218BB"/>
    <w:rsid w:val="00A74DD7"/>
    <w:rsid w:val="00AC29A7"/>
    <w:rsid w:val="00AC56F5"/>
    <w:rsid w:val="00AE0BE2"/>
    <w:rsid w:val="00B02222"/>
    <w:rsid w:val="00B130F6"/>
    <w:rsid w:val="00B20DD6"/>
    <w:rsid w:val="00B33559"/>
    <w:rsid w:val="00B67BEF"/>
    <w:rsid w:val="00B946B2"/>
    <w:rsid w:val="00B95777"/>
    <w:rsid w:val="00BA1E4B"/>
    <w:rsid w:val="00BC6428"/>
    <w:rsid w:val="00BE2E3C"/>
    <w:rsid w:val="00BF6C52"/>
    <w:rsid w:val="00C22DFC"/>
    <w:rsid w:val="00C709A2"/>
    <w:rsid w:val="00C866C0"/>
    <w:rsid w:val="00C939B8"/>
    <w:rsid w:val="00CF2497"/>
    <w:rsid w:val="00D26853"/>
    <w:rsid w:val="00D31591"/>
    <w:rsid w:val="00DE0432"/>
    <w:rsid w:val="00DE0DF0"/>
    <w:rsid w:val="00E02942"/>
    <w:rsid w:val="00E10B08"/>
    <w:rsid w:val="00EA1CDE"/>
    <w:rsid w:val="00EF5BEE"/>
    <w:rsid w:val="00F11300"/>
    <w:rsid w:val="00F1213E"/>
    <w:rsid w:val="00F16EE4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6105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11</cp:revision>
  <cp:lastPrinted>2024-01-30T09:47:00Z</cp:lastPrinted>
  <dcterms:created xsi:type="dcterms:W3CDTF">2024-05-21T09:37:00Z</dcterms:created>
  <dcterms:modified xsi:type="dcterms:W3CDTF">2024-05-30T14:00:00Z</dcterms:modified>
</cp:coreProperties>
</file>