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FD" w:rsidRPr="00F876DD" w:rsidRDefault="00450529" w:rsidP="004505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АНАЛІЗ</w:t>
      </w:r>
    </w:p>
    <w:p w:rsidR="00450529" w:rsidRPr="00F876DD" w:rsidRDefault="00450529" w:rsidP="004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впливу проекту рішення</w:t>
      </w:r>
    </w:p>
    <w:p w:rsidR="00450529" w:rsidRPr="00F876DD" w:rsidRDefault="00450529" w:rsidP="00556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затвердження </w:t>
      </w:r>
      <w:r w:rsidR="00327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 розміщення зовнішньої реклами у </w:t>
      </w:r>
      <w:r w:rsidR="00453A5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27850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7C39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27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Павлоград</w:t>
      </w:r>
      <w:r w:rsidR="007C399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C54B6" w:rsidRPr="00F876DD" w:rsidRDefault="00450529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Аналіз регуляторного впливу проекту рішення </w:t>
      </w:r>
      <w:r w:rsidR="008877D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міської ради « Про затвердження </w:t>
      </w:r>
      <w:r w:rsidR="00327850">
        <w:rPr>
          <w:rFonts w:ascii="Times New Roman" w:hAnsi="Times New Roman" w:cs="Times New Roman"/>
          <w:sz w:val="28"/>
          <w:szCs w:val="28"/>
          <w:lang w:val="uk-UA"/>
        </w:rPr>
        <w:t>Правил розміщення зовнішньої реклами у м</w:t>
      </w:r>
      <w:r w:rsidR="007C39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7C39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>» підготовлено відповідно до Закон</w:t>
      </w:r>
      <w:r w:rsidR="008877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рекламу», «Про дозвільну систему у сфері господарської діяльності», «Про місцеве самоврядування в Україні», «Про засади державної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Міністрів України від 11.03.2004р. №308.</w:t>
      </w:r>
    </w:p>
    <w:p w:rsidR="00BC54B6" w:rsidRPr="00F876DD" w:rsidRDefault="00BC54B6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Назва регуляторного акту:</w:t>
      </w:r>
    </w:p>
    <w:p w:rsidR="00450529" w:rsidRPr="00F876DD" w:rsidRDefault="00BC54B6" w:rsidP="00C1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="008877DF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Павлоградської міської ради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C1417D">
        <w:rPr>
          <w:rFonts w:ascii="Times New Roman" w:hAnsi="Times New Roman" w:cs="Times New Roman"/>
          <w:sz w:val="28"/>
          <w:szCs w:val="28"/>
          <w:lang w:val="uk-UA"/>
        </w:rPr>
        <w:t>Прави</w:t>
      </w:r>
      <w:r w:rsidR="00D43E3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1417D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зовнішньої реклами у м</w:t>
      </w:r>
      <w:r w:rsidR="007C39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4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7C39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C54B6" w:rsidRPr="00F876DD" w:rsidRDefault="00BC54B6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Регуляторний орган: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господарства та будівництва Павлоградської міської ради.</w:t>
      </w:r>
    </w:p>
    <w:p w:rsidR="00BC54B6" w:rsidRPr="00F876DD" w:rsidRDefault="00BC54B6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Розробник документу: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господарства та будівництва Павлоградської міської ради.</w:t>
      </w:r>
    </w:p>
    <w:p w:rsidR="00BC54B6" w:rsidRPr="00F876DD" w:rsidRDefault="00DC0D3E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050 </w:t>
      </w:r>
      <w:r w:rsidR="00BC54B6" w:rsidRPr="00F876DD">
        <w:rPr>
          <w:rFonts w:ascii="Times New Roman" w:hAnsi="Times New Roman" w:cs="Times New Roman"/>
          <w:sz w:val="28"/>
          <w:szCs w:val="28"/>
          <w:lang w:val="uk-UA"/>
        </w:rPr>
        <w:t>880 78 92</w:t>
      </w:r>
    </w:p>
    <w:p w:rsidR="004104BD" w:rsidRPr="00840BCB" w:rsidRDefault="004104BD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BCB">
        <w:rPr>
          <w:rFonts w:ascii="Times New Roman" w:hAnsi="Times New Roman" w:cs="Times New Roman"/>
          <w:b/>
          <w:sz w:val="28"/>
          <w:szCs w:val="28"/>
          <w:lang w:val="uk-UA"/>
        </w:rPr>
        <w:t>1.Проблема, яку передбачається розв'язати шляхом державного регулювання.</w:t>
      </w:r>
    </w:p>
    <w:p w:rsidR="00E976F8" w:rsidRPr="00761F7F" w:rsidRDefault="00E976F8" w:rsidP="004B5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F7F">
        <w:rPr>
          <w:rFonts w:ascii="Times New Roman" w:hAnsi="Times New Roman" w:cs="Times New Roman"/>
          <w:sz w:val="28"/>
          <w:szCs w:val="28"/>
          <w:lang w:val="uk-UA"/>
        </w:rPr>
        <w:t>Виконавчим комітетом Пав</w:t>
      </w:r>
      <w:r w:rsidR="00761F7F" w:rsidRPr="00761F7F">
        <w:rPr>
          <w:rFonts w:ascii="Times New Roman" w:hAnsi="Times New Roman" w:cs="Times New Roman"/>
          <w:sz w:val="28"/>
          <w:szCs w:val="28"/>
          <w:lang w:val="uk-UA"/>
        </w:rPr>
        <w:t>лоградської міської ради  у 2016</w:t>
      </w:r>
      <w:r w:rsidRPr="00761F7F">
        <w:rPr>
          <w:rFonts w:ascii="Times New Roman" w:hAnsi="Times New Roman" w:cs="Times New Roman"/>
          <w:sz w:val="28"/>
          <w:szCs w:val="28"/>
          <w:lang w:val="uk-UA"/>
        </w:rPr>
        <w:t xml:space="preserve"> році було</w:t>
      </w:r>
    </w:p>
    <w:p w:rsidR="004104BD" w:rsidRPr="004B5F43" w:rsidRDefault="002B61E6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C0D3E" w:rsidRPr="00761F7F">
        <w:rPr>
          <w:rFonts w:ascii="Times New Roman" w:hAnsi="Times New Roman" w:cs="Times New Roman"/>
          <w:sz w:val="28"/>
          <w:szCs w:val="28"/>
          <w:lang w:val="uk-UA"/>
        </w:rPr>
        <w:t>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F7F" w:rsidRPr="00761F7F">
        <w:rPr>
          <w:rFonts w:ascii="Times New Roman" w:hAnsi="Times New Roman" w:cs="Times New Roman"/>
          <w:sz w:val="28"/>
          <w:szCs w:val="28"/>
          <w:lang w:val="uk-UA"/>
        </w:rPr>
        <w:t>Правила розміщення зовнішньої реклами у місті Павлоград</w:t>
      </w:r>
      <w:r w:rsidR="00B31415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="00E976F8" w:rsidRPr="00761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1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976F8" w:rsidRPr="00761F7F">
        <w:rPr>
          <w:rFonts w:ascii="Times New Roman" w:hAnsi="Times New Roman" w:cs="Times New Roman"/>
          <w:sz w:val="28"/>
          <w:szCs w:val="28"/>
          <w:lang w:val="uk-UA"/>
        </w:rPr>
        <w:t>зв'язку з</w:t>
      </w:r>
      <w:r w:rsidR="00B31415">
        <w:rPr>
          <w:rFonts w:ascii="Times New Roman" w:hAnsi="Times New Roman" w:cs="Times New Roman"/>
          <w:sz w:val="28"/>
          <w:szCs w:val="28"/>
          <w:lang w:val="uk-UA"/>
        </w:rPr>
        <w:t xml:space="preserve">і змінами </w:t>
      </w:r>
      <w:r w:rsidR="008877D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31415">
        <w:rPr>
          <w:rFonts w:ascii="Times New Roman" w:hAnsi="Times New Roman" w:cs="Times New Roman"/>
          <w:sz w:val="28"/>
          <w:szCs w:val="28"/>
          <w:lang w:val="uk-UA"/>
        </w:rPr>
        <w:t>законодавств</w:t>
      </w:r>
      <w:r w:rsidR="008877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1415">
        <w:rPr>
          <w:rFonts w:ascii="Times New Roman" w:hAnsi="Times New Roman" w:cs="Times New Roman"/>
          <w:sz w:val="28"/>
          <w:szCs w:val="28"/>
          <w:lang w:val="uk-UA"/>
        </w:rPr>
        <w:t xml:space="preserve"> виникла необхідність у внесенні доповнень</w:t>
      </w:r>
      <w:r w:rsidR="00E976F8" w:rsidRPr="00761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1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877DF">
        <w:rPr>
          <w:rFonts w:ascii="Times New Roman" w:hAnsi="Times New Roman" w:cs="Times New Roman"/>
          <w:sz w:val="28"/>
          <w:szCs w:val="28"/>
          <w:lang w:val="uk-UA"/>
        </w:rPr>
        <w:t xml:space="preserve">перегляді </w:t>
      </w:r>
      <w:r w:rsidR="00B31415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акту діючому законодавству.</w:t>
      </w:r>
    </w:p>
    <w:p w:rsidR="00E976F8" w:rsidRDefault="00E976F8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F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Проблема є важливою, оскільки залишаються неврегульовані належним чином та в однаковому правовому полі відносини з розповсюджувачами зовнішньої реклами на території </w:t>
      </w:r>
      <w:r w:rsidR="002B61E6">
        <w:rPr>
          <w:rFonts w:ascii="Times New Roman" w:hAnsi="Times New Roman" w:cs="Times New Roman"/>
          <w:sz w:val="28"/>
          <w:szCs w:val="28"/>
          <w:lang w:val="uk-UA"/>
        </w:rPr>
        <w:t>міста Павлоград</w:t>
      </w:r>
      <w:r w:rsidRPr="004B5F43">
        <w:rPr>
          <w:rFonts w:ascii="Times New Roman" w:hAnsi="Times New Roman" w:cs="Times New Roman"/>
          <w:sz w:val="28"/>
          <w:szCs w:val="28"/>
          <w:lang w:val="uk-UA"/>
        </w:rPr>
        <w:t xml:space="preserve">. Відсутність врегулювання даного питання на місцевому рівні призводить до </w:t>
      </w:r>
      <w:r w:rsidR="0064330E">
        <w:rPr>
          <w:rFonts w:ascii="Times New Roman" w:hAnsi="Times New Roman" w:cs="Times New Roman"/>
          <w:sz w:val="28"/>
          <w:szCs w:val="28"/>
          <w:lang w:val="uk-UA"/>
        </w:rPr>
        <w:t>самовільного встановлення рекламних конс</w:t>
      </w:r>
      <w:r w:rsidR="00D953C9">
        <w:rPr>
          <w:rFonts w:ascii="Times New Roman" w:hAnsi="Times New Roman" w:cs="Times New Roman"/>
          <w:sz w:val="28"/>
          <w:szCs w:val="28"/>
          <w:lang w:val="uk-UA"/>
        </w:rPr>
        <w:t xml:space="preserve">трукцій  та </w:t>
      </w:r>
      <w:r w:rsidRPr="004B5F43">
        <w:rPr>
          <w:rFonts w:ascii="Times New Roman" w:hAnsi="Times New Roman" w:cs="Times New Roman"/>
          <w:sz w:val="28"/>
          <w:szCs w:val="28"/>
          <w:lang w:val="uk-UA"/>
        </w:rPr>
        <w:t>порушень вимог чинного зак</w:t>
      </w:r>
      <w:r w:rsidR="005A1C71">
        <w:rPr>
          <w:rFonts w:ascii="Times New Roman" w:hAnsi="Times New Roman" w:cs="Times New Roman"/>
          <w:sz w:val="28"/>
          <w:szCs w:val="28"/>
          <w:lang w:val="uk-UA"/>
        </w:rPr>
        <w:t xml:space="preserve">онодавства зі сторони суб'єктів господарювання, що розміщують зовнішню рекламу на території </w:t>
      </w:r>
      <w:r w:rsidR="002B61E6">
        <w:rPr>
          <w:rFonts w:ascii="Times New Roman" w:hAnsi="Times New Roman" w:cs="Times New Roman"/>
          <w:sz w:val="28"/>
          <w:szCs w:val="28"/>
          <w:lang w:val="uk-UA"/>
        </w:rPr>
        <w:t>міста Павлоград</w:t>
      </w:r>
      <w:r w:rsidR="005A1C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7D6" w:rsidRDefault="00DA17D6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C1510C">
        <w:rPr>
          <w:rFonts w:ascii="Times New Roman" w:hAnsi="Times New Roman" w:cs="Times New Roman"/>
          <w:sz w:val="28"/>
          <w:szCs w:val="28"/>
          <w:lang w:val="uk-UA"/>
        </w:rPr>
        <w:t>иконавчим комітетом Павлоградської міської ради  було прийнято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17D6" w:rsidRDefault="00DA17D6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- 2018 році </w:t>
      </w:r>
      <w:r w:rsidR="00C1510C">
        <w:rPr>
          <w:rFonts w:ascii="Times New Roman" w:hAnsi="Times New Roman" w:cs="Times New Roman"/>
          <w:sz w:val="28"/>
          <w:szCs w:val="28"/>
          <w:lang w:val="uk-UA"/>
        </w:rPr>
        <w:t>18 рішень про надання дозволу на розміщення зовнішньої реклами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місті Павлоград;</w:t>
      </w:r>
    </w:p>
    <w:p w:rsidR="00C1510C" w:rsidRDefault="00DA17D6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- 2019 роц</w:t>
      </w:r>
      <w:r w:rsidR="00C1510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74 рішень про надання дозволу на розміщення зовнішньої реклами у місті Павлоград.</w:t>
      </w:r>
    </w:p>
    <w:p w:rsidR="00DA17D6" w:rsidRDefault="00DA17D6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01.08.2020 року на території міста Павлоград надано 36 рішень про надання дозволу на розміщення зовнішньої реклами у місті Павлоград.</w:t>
      </w:r>
    </w:p>
    <w:p w:rsidR="00D52DA7" w:rsidRDefault="00D52DA7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</w:t>
      </w:r>
      <w:r w:rsidR="007C3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протязі 2018-2019 років виконавчим комітетом Павлограської міської ради не приймались рішення про відмову у розміщенні зовнішньої реклами.</w:t>
      </w:r>
    </w:p>
    <w:p w:rsidR="00E95210" w:rsidRDefault="00E95210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Групи (підгрупи)</w:t>
            </w:r>
          </w:p>
        </w:tc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191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</w:t>
            </w:r>
          </w:p>
        </w:tc>
        <w:tc>
          <w:tcPr>
            <w:tcW w:w="3190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місцевого самоврядування</w:t>
            </w:r>
          </w:p>
        </w:tc>
        <w:tc>
          <w:tcPr>
            <w:tcW w:w="3190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Суб'єкти господарювання</w:t>
            </w:r>
          </w:p>
        </w:tc>
        <w:tc>
          <w:tcPr>
            <w:tcW w:w="3190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12B5F" w:rsidRDefault="00DC0D3E" w:rsidP="00527B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Розв'язання даної проблеми за допомогою </w:t>
      </w:r>
      <w:r w:rsidR="00A237A5">
        <w:rPr>
          <w:rFonts w:ascii="Times New Roman" w:hAnsi="Times New Roman" w:cs="Times New Roman"/>
          <w:sz w:val="28"/>
          <w:szCs w:val="28"/>
          <w:lang w:val="uk-UA"/>
        </w:rPr>
        <w:t xml:space="preserve">ринкових механізмів неможливе, оскільки </w:t>
      </w:r>
      <w:r w:rsidR="00D52DA7">
        <w:rPr>
          <w:rFonts w:ascii="Times New Roman" w:hAnsi="Times New Roman" w:cs="Times New Roman"/>
          <w:sz w:val="28"/>
          <w:szCs w:val="28"/>
          <w:lang w:val="uk-UA"/>
        </w:rPr>
        <w:t>стаття</w:t>
      </w:r>
      <w:r w:rsidR="00B94777">
        <w:rPr>
          <w:rFonts w:ascii="Times New Roman" w:hAnsi="Times New Roman" w:cs="Times New Roman"/>
          <w:sz w:val="28"/>
          <w:szCs w:val="28"/>
          <w:lang w:val="uk-UA"/>
        </w:rPr>
        <w:t xml:space="preserve"> 16 Закону України «Про </w:t>
      </w:r>
      <w:r w:rsidR="00D52DA7">
        <w:rPr>
          <w:rFonts w:ascii="Times New Roman" w:hAnsi="Times New Roman" w:cs="Times New Roman"/>
          <w:sz w:val="28"/>
          <w:szCs w:val="28"/>
          <w:lang w:val="uk-UA"/>
        </w:rPr>
        <w:t xml:space="preserve"> рекламу» чітко регламентує, що до повноважень саме виконавчих органів міських рад належить встановлення порядку видачі дозволів на розміщення зовнішньої реклами, та стаття 4</w:t>
      </w:r>
      <w:r w:rsidR="00D52DA7" w:rsidRPr="00D52DA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A23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B5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дозвільну систему у сфері господарської діяльності» передбачає, що порядок проведення дозвільної процедури переоформлення та анулювання документів дозвільного характеру, що законами України віднесено до повноважень органів місцевого самоврядування, встановлюється їх рішенням, а у випадку передбачених законом, - на підставі типових порядків, затверджених Кабінетом Міністрів України. </w:t>
      </w:r>
    </w:p>
    <w:p w:rsidR="00E976F8" w:rsidRPr="002B61E6" w:rsidRDefault="00E976F8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1E6">
        <w:rPr>
          <w:rFonts w:ascii="Times New Roman" w:hAnsi="Times New Roman" w:cs="Times New Roman"/>
          <w:b/>
          <w:sz w:val="28"/>
          <w:szCs w:val="28"/>
          <w:lang w:val="uk-UA"/>
        </w:rPr>
        <w:t>2. Цілі державного регулювання</w:t>
      </w:r>
    </w:p>
    <w:p w:rsidR="00E976F8" w:rsidRPr="002B61E6" w:rsidRDefault="00E976F8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1E6">
        <w:rPr>
          <w:rFonts w:ascii="Times New Roman" w:hAnsi="Times New Roman" w:cs="Times New Roman"/>
          <w:sz w:val="28"/>
          <w:szCs w:val="28"/>
          <w:lang w:val="uk-UA"/>
        </w:rPr>
        <w:t>Основними цілями прийняття регуляторного акту є:</w:t>
      </w:r>
    </w:p>
    <w:p w:rsidR="00E976F8" w:rsidRPr="002B61E6" w:rsidRDefault="00840BCB" w:rsidP="004B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1E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33229" w:rsidRPr="002B61E6">
        <w:rPr>
          <w:rFonts w:ascii="Times New Roman" w:hAnsi="Times New Roman" w:cs="Times New Roman"/>
          <w:sz w:val="28"/>
          <w:szCs w:val="28"/>
          <w:lang w:val="uk-UA"/>
        </w:rPr>
        <w:t xml:space="preserve">творення </w:t>
      </w:r>
      <w:r w:rsidR="002B61E6" w:rsidRPr="002B61E6">
        <w:rPr>
          <w:rFonts w:ascii="Times New Roman" w:hAnsi="Times New Roman" w:cs="Times New Roman"/>
          <w:sz w:val="28"/>
          <w:szCs w:val="28"/>
          <w:lang w:val="uk-UA"/>
        </w:rPr>
        <w:t>єдиної впорядкованої та прозорої системи у сфері розміщення зовнішньої реклами на території міста Павлоград, яка б відповідала вимогам діючого законодавства;</w:t>
      </w:r>
    </w:p>
    <w:p w:rsidR="00D33229" w:rsidRPr="001226BB" w:rsidRDefault="002F4AE7" w:rsidP="004B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6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3229" w:rsidRPr="001226BB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відносин між управлінням комунального господарства та </w:t>
      </w:r>
      <w:r w:rsidR="00B94777"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r w:rsidR="00D33229" w:rsidRPr="001226BB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Павлоградської міської ради та суб</w:t>
      </w:r>
      <w:r w:rsidR="00515BF3" w:rsidRPr="001226B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3229" w:rsidRPr="001226BB">
        <w:rPr>
          <w:rFonts w:ascii="Times New Roman" w:hAnsi="Times New Roman" w:cs="Times New Roman"/>
          <w:sz w:val="28"/>
          <w:szCs w:val="28"/>
          <w:lang w:val="uk-UA"/>
        </w:rPr>
        <w:t>єктами господарювання у сфері розміщення зовнішньої реклами у місті Павлоград.</w:t>
      </w:r>
    </w:p>
    <w:p w:rsidR="00D33229" w:rsidRPr="007A0D91" w:rsidRDefault="00A237A5" w:rsidP="004B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D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3229" w:rsidRPr="007A0D91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B94777">
        <w:rPr>
          <w:rFonts w:ascii="Times New Roman" w:hAnsi="Times New Roman" w:cs="Times New Roman"/>
          <w:sz w:val="28"/>
          <w:szCs w:val="28"/>
          <w:lang w:val="uk-UA"/>
        </w:rPr>
        <w:t xml:space="preserve">порядку та умов надання </w:t>
      </w:r>
      <w:r w:rsidR="007A0D91" w:rsidRPr="007A0D91">
        <w:rPr>
          <w:rFonts w:ascii="Times New Roman" w:hAnsi="Times New Roman" w:cs="Times New Roman"/>
          <w:sz w:val="28"/>
          <w:szCs w:val="28"/>
          <w:lang w:val="uk-UA"/>
        </w:rPr>
        <w:t>дозволів на розміщення зовнішньої реклами.</w:t>
      </w:r>
    </w:p>
    <w:p w:rsidR="00D33229" w:rsidRPr="001633ED" w:rsidRDefault="00D33229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3ED">
        <w:rPr>
          <w:rFonts w:ascii="Times New Roman" w:hAnsi="Times New Roman" w:cs="Times New Roman"/>
          <w:b/>
          <w:sz w:val="28"/>
          <w:szCs w:val="28"/>
          <w:lang w:val="uk-UA"/>
        </w:rPr>
        <w:t>3.Визначення та оцінка альтернативних способів досягнення зазначених цілей.</w:t>
      </w:r>
    </w:p>
    <w:p w:rsidR="00D33229" w:rsidRPr="004B5F43" w:rsidRDefault="00D33229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F43">
        <w:rPr>
          <w:rFonts w:ascii="Times New Roman" w:hAnsi="Times New Roman" w:cs="Times New Roman"/>
          <w:sz w:val="28"/>
          <w:szCs w:val="28"/>
          <w:lang w:val="uk-UA"/>
        </w:rPr>
        <w:t>1. Визначення альтернативних способів.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33229" w:rsidRPr="004B5F43" w:rsidTr="00D33229">
        <w:tc>
          <w:tcPr>
            <w:tcW w:w="4785" w:type="dxa"/>
          </w:tcPr>
          <w:p w:rsidR="00D33229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4786" w:type="dxa"/>
          </w:tcPr>
          <w:p w:rsidR="00D33229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D33229" w:rsidRPr="00453A59" w:rsidTr="00D33229">
        <w:tc>
          <w:tcPr>
            <w:tcW w:w="4785" w:type="dxa"/>
          </w:tcPr>
          <w:p w:rsidR="00D33229" w:rsidRPr="00134DE5" w:rsidRDefault="00D33229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  <w:p w:rsidR="00D33229" w:rsidRPr="004B5F43" w:rsidRDefault="00D33229" w:rsidP="00507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регуляторного акта – рішення «Про затвердження </w:t>
            </w:r>
            <w:r w:rsidR="008C1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розміщення зовнішньої реклами у 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7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місті 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Павлоград»</w:t>
            </w:r>
          </w:p>
        </w:tc>
        <w:tc>
          <w:tcPr>
            <w:tcW w:w="4786" w:type="dxa"/>
          </w:tcPr>
          <w:p w:rsidR="00D33229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альтернатива дозволить у повній мірі розв</w:t>
            </w:r>
            <w:r w:rsidR="0051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 проблемні питання зазначені у першому розділі АРВ. Перевагами даного регулювання є:</w:t>
            </w:r>
          </w:p>
          <w:p w:rsidR="005E3F2E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E3F2E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r w:rsidR="008C1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єдиної цілісної, впорядкованої, структурованої та прозорої системи у сфері розміщення зовнішньої р</w:t>
            </w:r>
            <w:r w:rsidR="002568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</w:t>
            </w:r>
            <w:r w:rsidR="008C1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лами </w:t>
            </w:r>
            <w:r w:rsidR="002568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міста Павлоград;</w:t>
            </w:r>
          </w:p>
          <w:p w:rsidR="00D33229" w:rsidRPr="004B5F43" w:rsidRDefault="005E3F2E" w:rsidP="00527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-забезпечення вимог Законів України «Про рекламу», «Про дозвільну 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систему у сфері господарської діяльності», «Про засади державної регуляторної політики у сфері господарської діяльності» на терріторії міста Павлоград</w:t>
            </w:r>
            <w:r w:rsidR="002568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5BF3" w:rsidRPr="004B5F43" w:rsidTr="00D33229">
        <w:tc>
          <w:tcPr>
            <w:tcW w:w="4785" w:type="dxa"/>
          </w:tcPr>
          <w:p w:rsidR="00515BF3" w:rsidRPr="00134DE5" w:rsidRDefault="00515BF3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Альтернатива 2</w:t>
            </w:r>
          </w:p>
          <w:p w:rsidR="00515BF3" w:rsidRPr="004B5F43" w:rsidRDefault="00515BF3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Залишення без змін</w:t>
            </w:r>
          </w:p>
        </w:tc>
        <w:tc>
          <w:tcPr>
            <w:tcW w:w="4786" w:type="dxa"/>
          </w:tcPr>
          <w:p w:rsidR="00515BF3" w:rsidRPr="004B5F43" w:rsidRDefault="009729B5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Залишити чинне регулювання і зберегти дану ситуацію без змін</w:t>
            </w:r>
          </w:p>
        </w:tc>
      </w:tr>
    </w:tbl>
    <w:p w:rsidR="00D33229" w:rsidRPr="00DA3F5D" w:rsidRDefault="00515BF3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F5D">
        <w:rPr>
          <w:rFonts w:ascii="Times New Roman" w:hAnsi="Times New Roman" w:cs="Times New Roman"/>
          <w:sz w:val="28"/>
          <w:szCs w:val="28"/>
          <w:lang w:val="uk-UA"/>
        </w:rPr>
        <w:t>2. Оцінка вибраних альтернативних способів досягнення цілей.</w:t>
      </w:r>
    </w:p>
    <w:p w:rsidR="00515BF3" w:rsidRPr="002B7351" w:rsidRDefault="00515BF3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351">
        <w:rPr>
          <w:rFonts w:ascii="Times New Roman" w:hAnsi="Times New Roman" w:cs="Times New Roman"/>
          <w:b/>
          <w:sz w:val="28"/>
          <w:szCs w:val="28"/>
          <w:lang w:val="uk-UA"/>
        </w:rPr>
        <w:t>Оцінка впливу на сферу інтересів органу місцевого самоврядування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5A2D" w:rsidTr="004F5A2D">
        <w:tc>
          <w:tcPr>
            <w:tcW w:w="3190" w:type="dxa"/>
          </w:tcPr>
          <w:p w:rsidR="004F5A2D" w:rsidRDefault="004F5A2D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190" w:type="dxa"/>
          </w:tcPr>
          <w:p w:rsidR="004F5A2D" w:rsidRDefault="004F5A2D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91" w:type="dxa"/>
          </w:tcPr>
          <w:p w:rsidR="004F5A2D" w:rsidRDefault="004F5A2D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4F5A2D" w:rsidRPr="007B4DF5" w:rsidTr="004F5A2D">
        <w:tc>
          <w:tcPr>
            <w:tcW w:w="3190" w:type="dxa"/>
          </w:tcPr>
          <w:p w:rsidR="004F5A2D" w:rsidRPr="00C5600F" w:rsidRDefault="004F5A2D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60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3190" w:type="dxa"/>
          </w:tcPr>
          <w:p w:rsidR="000A7F13" w:rsidRDefault="000A7F13" w:rsidP="00A607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чинного законодавства, а саме:</w:t>
            </w:r>
          </w:p>
          <w:p w:rsidR="004F5A2D" w:rsidRDefault="004F5A2D" w:rsidP="00A607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-впровадження чіткого порядку </w:t>
            </w:r>
            <w:r w:rsidR="00A60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видачі дозволів на розміщення зовнішньої реклами  </w:t>
            </w:r>
            <w:r w:rsidR="00C56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міста</w:t>
            </w:r>
            <w:r w:rsidR="00A60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Павлоград;</w:t>
            </w:r>
          </w:p>
          <w:p w:rsidR="00245F00" w:rsidRDefault="00245F00" w:rsidP="00A607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-збільшення кількості суб'єктів господарювання, яким надано дозвіл на розміщення зовнішньої реклами на території міста Павлоград</w:t>
            </w:r>
            <w:r w:rsidR="00885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4F5A2D" w:rsidRDefault="00C5600F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відсутні</w:t>
            </w:r>
          </w:p>
        </w:tc>
      </w:tr>
      <w:tr w:rsidR="004F5A2D" w:rsidTr="004F5A2D">
        <w:tc>
          <w:tcPr>
            <w:tcW w:w="3190" w:type="dxa"/>
          </w:tcPr>
          <w:p w:rsidR="004F5A2D" w:rsidRPr="002B7351" w:rsidRDefault="004F5A2D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90" w:type="dxa"/>
          </w:tcPr>
          <w:p w:rsidR="004F5A2D" w:rsidRPr="00C5600F" w:rsidRDefault="000A7F13" w:rsidP="000A7F13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Залишити дану ситуацію без змін.</w:t>
            </w:r>
          </w:p>
        </w:tc>
        <w:tc>
          <w:tcPr>
            <w:tcW w:w="3191" w:type="dxa"/>
          </w:tcPr>
          <w:p w:rsidR="004F5A2D" w:rsidRDefault="000A7F13" w:rsidP="00C560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відсутні. Дана альтернатива є неприйнятною, оскільки цілей правового регулювання не буде досягнуто.</w:t>
            </w:r>
          </w:p>
        </w:tc>
      </w:tr>
    </w:tbl>
    <w:p w:rsidR="002C4DC9" w:rsidRDefault="002C4DC9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A2D" w:rsidRPr="002C4DC9" w:rsidRDefault="002C4DC9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DC9">
        <w:rPr>
          <w:rFonts w:ascii="Times New Roman" w:hAnsi="Times New Roman" w:cs="Times New Roman"/>
          <w:b/>
          <w:sz w:val="28"/>
          <w:szCs w:val="28"/>
          <w:lang w:val="uk-UA"/>
        </w:rPr>
        <w:t>Оцінка впливу на сферу інтересів громадян м. Павлоград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C4DC9" w:rsidTr="002C4DC9">
        <w:tc>
          <w:tcPr>
            <w:tcW w:w="3190" w:type="dxa"/>
          </w:tcPr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</w:p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</w:t>
            </w:r>
          </w:p>
        </w:tc>
        <w:tc>
          <w:tcPr>
            <w:tcW w:w="3190" w:type="dxa"/>
          </w:tcPr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Вигода</w:t>
            </w:r>
          </w:p>
        </w:tc>
        <w:tc>
          <w:tcPr>
            <w:tcW w:w="3191" w:type="dxa"/>
          </w:tcPr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2C4DC9" w:rsidRPr="00C52BAD" w:rsidTr="002C4DC9">
        <w:tc>
          <w:tcPr>
            <w:tcW w:w="3190" w:type="dxa"/>
          </w:tcPr>
          <w:p w:rsidR="002C4DC9" w:rsidRPr="002B7351" w:rsidRDefault="002C4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190" w:type="dxa"/>
          </w:tcPr>
          <w:p w:rsidR="00C52BAD" w:rsidRPr="00C52BAD" w:rsidRDefault="0055644A" w:rsidP="00527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запропонованого регуляторного акта призведе до поліпшення ситуації із засобами зовнішньої реклами на території міста Павлограда</w:t>
            </w:r>
            <w:r w:rsidR="00527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покращиться візуальний вигляд вулиць мі</w:t>
            </w:r>
            <w:r w:rsidR="00527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Павлоград, </w:t>
            </w:r>
            <w:r w:rsidR="00527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дасть змогу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посилит</w:t>
            </w:r>
            <w:r w:rsidR="00527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 за технічним станом </w:t>
            </w:r>
            <w:r w:rsidR="00527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зовнішньої реклами.</w:t>
            </w:r>
          </w:p>
        </w:tc>
        <w:tc>
          <w:tcPr>
            <w:tcW w:w="3191" w:type="dxa"/>
          </w:tcPr>
          <w:p w:rsidR="002C4DC9" w:rsidRDefault="00264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Витрати відсутні.</w:t>
            </w:r>
          </w:p>
        </w:tc>
      </w:tr>
      <w:tr w:rsidR="002C4DC9" w:rsidRPr="00C52BAD" w:rsidTr="002C4DC9">
        <w:tc>
          <w:tcPr>
            <w:tcW w:w="3190" w:type="dxa"/>
          </w:tcPr>
          <w:p w:rsidR="002C4DC9" w:rsidRPr="002B7351" w:rsidRDefault="002C4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Альтернатива 2</w:t>
            </w:r>
          </w:p>
        </w:tc>
        <w:tc>
          <w:tcPr>
            <w:tcW w:w="3190" w:type="dxa"/>
          </w:tcPr>
          <w:p w:rsidR="0055644A" w:rsidRDefault="0055644A" w:rsidP="00556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розміщення зовнішньої реклами на території міста Павлоград не відповідають у повній мірі положенням, які визначені постановою Кабінету Міністрів України від 29.12.2003 року №2067 «Про затвердження Типових правил розміщення зовнішньої реклами» </w:t>
            </w:r>
          </w:p>
          <w:p w:rsidR="00C52BAD" w:rsidRPr="00C52BAD" w:rsidRDefault="0055644A" w:rsidP="00556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(із змінами), що в свою чергу, є прямим порушенням чинного законодавства та порушує права та інтереси суб'єктів господарювання у сфері зовнішньої реклами. Вигода відсутня.</w:t>
            </w:r>
          </w:p>
        </w:tc>
        <w:tc>
          <w:tcPr>
            <w:tcW w:w="3191" w:type="dxa"/>
          </w:tcPr>
          <w:p w:rsidR="002C4DC9" w:rsidRDefault="00264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відсутні.</w:t>
            </w:r>
          </w:p>
        </w:tc>
      </w:tr>
    </w:tbl>
    <w:p w:rsidR="00A3089C" w:rsidRDefault="00A30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DC9" w:rsidRPr="003B14E3" w:rsidRDefault="004F1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4E3">
        <w:rPr>
          <w:rFonts w:ascii="Times New Roman" w:hAnsi="Times New Roman" w:cs="Times New Roman"/>
          <w:b/>
          <w:sz w:val="28"/>
          <w:szCs w:val="28"/>
          <w:lang w:val="uk-UA"/>
        </w:rPr>
        <w:t>Оцінка впливу на сферу інтересів суб'єктів господарювання</w:t>
      </w:r>
    </w:p>
    <w:tbl>
      <w:tblPr>
        <w:tblStyle w:val="a4"/>
        <w:tblW w:w="0" w:type="auto"/>
        <w:tblLook w:val="04A0"/>
      </w:tblPr>
      <w:tblGrid>
        <w:gridCol w:w="2257"/>
        <w:gridCol w:w="1798"/>
        <w:gridCol w:w="1815"/>
        <w:gridCol w:w="1789"/>
        <w:gridCol w:w="1912"/>
      </w:tblGrid>
      <w:tr w:rsidR="001A7D6C" w:rsidTr="004532F0">
        <w:tc>
          <w:tcPr>
            <w:tcW w:w="2257" w:type="dxa"/>
          </w:tcPr>
          <w:p w:rsid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798" w:type="dxa"/>
          </w:tcPr>
          <w:p w:rsid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815" w:type="dxa"/>
          </w:tcPr>
          <w:p w:rsid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789" w:type="dxa"/>
          </w:tcPr>
          <w:p w:rsid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Малі, Мікро</w:t>
            </w:r>
          </w:p>
        </w:tc>
        <w:tc>
          <w:tcPr>
            <w:tcW w:w="1912" w:type="dxa"/>
          </w:tcPr>
          <w:p w:rsid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1A7D6C" w:rsidRPr="001A7D6C" w:rsidTr="004532F0">
        <w:tc>
          <w:tcPr>
            <w:tcW w:w="2257" w:type="dxa"/>
          </w:tcPr>
          <w:p w:rsidR="001A7D6C" w:rsidRP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798" w:type="dxa"/>
          </w:tcPr>
          <w:p w:rsidR="001A7D6C" w:rsidRP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</w:tcPr>
          <w:p w:rsidR="001A7D6C" w:rsidRP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</w:tcPr>
          <w:p w:rsidR="001A7D6C" w:rsidRPr="003B14E3" w:rsidRDefault="00114E3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1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912" w:type="dxa"/>
          </w:tcPr>
          <w:p w:rsidR="001A7D6C" w:rsidRP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1A7D6C" w:rsidRPr="001A7D6C" w:rsidTr="004532F0">
        <w:tc>
          <w:tcPr>
            <w:tcW w:w="2257" w:type="dxa"/>
          </w:tcPr>
          <w:p w:rsidR="001A7D6C" w:rsidRP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798" w:type="dxa"/>
          </w:tcPr>
          <w:p w:rsidR="001A7D6C" w:rsidRP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</w:tcPr>
          <w:p w:rsidR="001A7D6C" w:rsidRP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</w:tcPr>
          <w:p w:rsidR="001A7D6C" w:rsidRPr="003B14E3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1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12" w:type="dxa"/>
          </w:tcPr>
          <w:p w:rsidR="001A7D6C" w:rsidRPr="001A7D6C" w:rsidRDefault="001A7D6C" w:rsidP="00453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</w:tbl>
    <w:p w:rsidR="001A7D6C" w:rsidRDefault="001A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257"/>
        <w:gridCol w:w="5402"/>
        <w:gridCol w:w="1912"/>
      </w:tblGrid>
      <w:tr w:rsidR="00A20E22" w:rsidTr="001D37E0">
        <w:tc>
          <w:tcPr>
            <w:tcW w:w="2257" w:type="dxa"/>
          </w:tcPr>
          <w:p w:rsidR="00A20E22" w:rsidRDefault="00A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402" w:type="dxa"/>
          </w:tcPr>
          <w:p w:rsidR="00A20E22" w:rsidRPr="00A20E22" w:rsidRDefault="00A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912" w:type="dxa"/>
          </w:tcPr>
          <w:p w:rsidR="00A20E22" w:rsidRPr="00A20E22" w:rsidRDefault="00A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A20E22" w:rsidTr="001D37E0">
        <w:tc>
          <w:tcPr>
            <w:tcW w:w="2257" w:type="dxa"/>
          </w:tcPr>
          <w:p w:rsidR="00A20E22" w:rsidRPr="001D37E0" w:rsidRDefault="00A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5402" w:type="dxa"/>
          </w:tcPr>
          <w:p w:rsidR="00A20E22" w:rsidRDefault="00114E3C" w:rsidP="001A7D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запропонованого проекту рішення виконавчого комітету Павлоградської міської ради забезпечить виконання законодавства України та дотримання інтересів суб'єктів господарювання – за рахунок прозорої та доступної процедури оформлення документів дозвільного характеру у сфері зовнішньої реклами.</w:t>
            </w:r>
          </w:p>
        </w:tc>
        <w:tc>
          <w:tcPr>
            <w:tcW w:w="1912" w:type="dxa"/>
          </w:tcPr>
          <w:p w:rsidR="00A20E22" w:rsidRDefault="00433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433394" w:rsidRPr="007B4DF5" w:rsidTr="001D37E0">
        <w:tc>
          <w:tcPr>
            <w:tcW w:w="2257" w:type="dxa"/>
          </w:tcPr>
          <w:p w:rsidR="00433394" w:rsidRPr="001D37E0" w:rsidRDefault="00B97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02" w:type="dxa"/>
          </w:tcPr>
          <w:p w:rsidR="00114E3C" w:rsidRDefault="00114E3C" w:rsidP="00114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розміщення зовнішньої реклами на території міста Павлоград не відповідають у повній мірі положенням, які визначені постановою Кабінету Міністрів України від 29.12.2003 року №2067 «Про затвердження Типових правил розміщення зовнішньої реклами» </w:t>
            </w:r>
          </w:p>
          <w:p w:rsidR="00433394" w:rsidRDefault="00114E3C" w:rsidP="00114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(із змінами), що в свою чергу, є прямим порушенням чинного законодавства та порушує права та інтереси суб'єктів господарювання у сфері зовнішньої реклами. Вигода відсутня.</w:t>
            </w:r>
          </w:p>
        </w:tc>
        <w:tc>
          <w:tcPr>
            <w:tcW w:w="1912" w:type="dxa"/>
          </w:tcPr>
          <w:p w:rsidR="00433394" w:rsidRDefault="001D37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4F1B52" w:rsidRDefault="00B9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регуляторного акта не має впливу на сфері інтересів суб'єктів господарювання великого та середнього підприємництва.</w:t>
      </w:r>
    </w:p>
    <w:p w:rsidR="00086E73" w:rsidRDefault="0008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E22" w:rsidRPr="00DA3F5D" w:rsidRDefault="008B7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F5D">
        <w:rPr>
          <w:rFonts w:ascii="Times New Roman" w:hAnsi="Times New Roman" w:cs="Times New Roman"/>
          <w:b/>
          <w:sz w:val="28"/>
          <w:szCs w:val="28"/>
          <w:lang w:val="uk-UA"/>
        </w:rPr>
        <w:t>4. Вибір найбільш оптимального альтернативного способу досягнення цілей</w:t>
      </w:r>
    </w:p>
    <w:p w:rsidR="008B7934" w:rsidRDefault="008B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ступеня досягнення визначених цілей здійснюється за чотирибальною системою, де:</w:t>
      </w:r>
    </w:p>
    <w:p w:rsidR="008B7934" w:rsidRDefault="008B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 цілі прийняття регуляторного акта можуть бути досягнуті повною мірою (проблема більше існувати не буде);</w:t>
      </w:r>
    </w:p>
    <w:p w:rsidR="008B7934" w:rsidRDefault="00C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цілі прийняття регуляторного акта можуть бути досягнуті майже повною мірою (усі важливі аспекти проблеми існувати не будуть);</w:t>
      </w:r>
    </w:p>
    <w:p w:rsidR="00C93175" w:rsidRDefault="00C9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F97A0B" w:rsidRPr="002C4DC9" w:rsidRDefault="00C9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цілі прийняття регуляторного акта не можуть</w:t>
      </w:r>
      <w:r w:rsidR="00F97A0B">
        <w:rPr>
          <w:rFonts w:ascii="Times New Roman" w:hAnsi="Times New Roman" w:cs="Times New Roman"/>
          <w:sz w:val="28"/>
          <w:szCs w:val="28"/>
          <w:lang w:val="uk-UA"/>
        </w:rPr>
        <w:t xml:space="preserve"> бути досягнуті (проблема продовжує існувати).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97A0B" w:rsidTr="00F97A0B">
        <w:tc>
          <w:tcPr>
            <w:tcW w:w="3190" w:type="dxa"/>
          </w:tcPr>
          <w:p w:rsidR="00F97A0B" w:rsidRPr="009E63C2" w:rsidRDefault="00937494" w:rsidP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Рейтинг результативності (досягнення цілей під час вирішення </w:t>
            </w: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проблеми)</w:t>
            </w:r>
          </w:p>
        </w:tc>
        <w:tc>
          <w:tcPr>
            <w:tcW w:w="3190" w:type="dxa"/>
          </w:tcPr>
          <w:p w:rsidR="00F97A0B" w:rsidRPr="009E63C2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Бал результативності (за чотирибальною системою оцінки)</w:t>
            </w:r>
          </w:p>
        </w:tc>
        <w:tc>
          <w:tcPr>
            <w:tcW w:w="3191" w:type="dxa"/>
          </w:tcPr>
          <w:p w:rsidR="00F97A0B" w:rsidRPr="009E63C2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Коментарі щодо присвоєння відповідного балу</w:t>
            </w:r>
          </w:p>
        </w:tc>
      </w:tr>
      <w:tr w:rsidR="00937494" w:rsidRPr="00D43E3A" w:rsidTr="00F97A0B">
        <w:tc>
          <w:tcPr>
            <w:tcW w:w="3190" w:type="dxa"/>
          </w:tcPr>
          <w:p w:rsidR="00937494" w:rsidRPr="009E63C2" w:rsidRDefault="00937494"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Альтернатива 1</w:t>
            </w:r>
          </w:p>
        </w:tc>
        <w:tc>
          <w:tcPr>
            <w:tcW w:w="3190" w:type="dxa"/>
          </w:tcPr>
          <w:p w:rsidR="00937494" w:rsidRPr="009E63C2" w:rsidRDefault="00936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91" w:type="dxa"/>
          </w:tcPr>
          <w:p w:rsidR="00937494" w:rsidRPr="009E63C2" w:rsidRDefault="009367C2" w:rsidP="007C39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прийняття регуляторного  акта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</w:t>
            </w:r>
            <w:r w:rsidRPr="00657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жуть бути досягнуті повною мірою (проблема більше існувати не буде), прийняття регуляторного акту надасть можливість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врегул</w:t>
            </w:r>
            <w:r w:rsidR="007C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відносини суб'єктів, на які поширюється даний акт.</w:t>
            </w:r>
          </w:p>
        </w:tc>
      </w:tr>
      <w:tr w:rsidR="00937494" w:rsidRPr="00453A59" w:rsidTr="00F97A0B">
        <w:tc>
          <w:tcPr>
            <w:tcW w:w="3190" w:type="dxa"/>
          </w:tcPr>
          <w:p w:rsidR="00937494" w:rsidRPr="00657E47" w:rsidRDefault="00937494" w:rsidP="00937494">
            <w:r w:rsidRPr="00657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90" w:type="dxa"/>
          </w:tcPr>
          <w:p w:rsidR="00937494" w:rsidRPr="00657E47" w:rsidRDefault="00936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937494" w:rsidRPr="00657E47" w:rsidRDefault="00936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прийняття рег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уляторного акта не можуть бути д</w:t>
            </w: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осягнуті, проблема існуватиме к зв'язку з тим, що через зміни, які сталися у чинному законодавстві, існуючий нормативно-регуляторний акт (рішення Павлоградської міської ради) вимагає внесення змін</w:t>
            </w:r>
          </w:p>
        </w:tc>
      </w:tr>
    </w:tbl>
    <w:p w:rsidR="00086E73" w:rsidRDefault="0008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82EB0" w:rsidTr="00D82EB0">
        <w:tc>
          <w:tcPr>
            <w:tcW w:w="3190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3190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 щодо переваги обраної альтернативи/причини</w:t>
            </w:r>
          </w:p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відмови від альтернатив</w:t>
            </w:r>
          </w:p>
        </w:tc>
        <w:tc>
          <w:tcPr>
            <w:tcW w:w="3191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82EB0" w:rsidTr="00D82EB0">
        <w:tc>
          <w:tcPr>
            <w:tcW w:w="3190" w:type="dxa"/>
          </w:tcPr>
          <w:p w:rsidR="00D82EB0" w:rsidRPr="00D82EB0" w:rsidRDefault="00D82EB0" w:rsidP="001F576D">
            <w:r w:rsidRPr="00D8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190" w:type="dxa"/>
          </w:tcPr>
          <w:p w:rsidR="00D82EB0" w:rsidRDefault="00936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в дію запропонованого регуляторного акта сприяє досягненню цілей регулювання</w:t>
            </w:r>
          </w:p>
        </w:tc>
        <w:tc>
          <w:tcPr>
            <w:tcW w:w="3191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чинного законодавства України у сфері зовнішньої реклами, економічні або соціальні кризи, тощо</w:t>
            </w:r>
          </w:p>
        </w:tc>
      </w:tr>
      <w:tr w:rsidR="003979EE" w:rsidTr="00D82EB0">
        <w:tc>
          <w:tcPr>
            <w:tcW w:w="3190" w:type="dxa"/>
          </w:tcPr>
          <w:p w:rsidR="003979EE" w:rsidRPr="00D82EB0" w:rsidRDefault="003979EE" w:rsidP="001F576D">
            <w:r w:rsidRPr="00D8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90" w:type="dxa"/>
          </w:tcPr>
          <w:p w:rsidR="003979EE" w:rsidRDefault="009367C2" w:rsidP="00086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Залишення ситуації, що складалась, без змін, не забезпечить досягнення поставленої цілі. Отже, така альтернатива є неприйнятною</w:t>
            </w:r>
          </w:p>
        </w:tc>
        <w:tc>
          <w:tcPr>
            <w:tcW w:w="3191" w:type="dxa"/>
          </w:tcPr>
          <w:p w:rsidR="003979EE" w:rsidRDefault="003979EE" w:rsidP="00FA3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чинного законодавства України у сфері зовнішньої реклами, економічні або соціальні кризи, тощо</w:t>
            </w:r>
          </w:p>
        </w:tc>
      </w:tr>
    </w:tbl>
    <w:p w:rsidR="00937494" w:rsidRDefault="006B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Вирішення проблеми можливе шляхом ухвалення проекту рішення </w:t>
      </w:r>
      <w:r w:rsidR="007C399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міської ради «Про затвердження </w:t>
      </w:r>
      <w:r w:rsidR="00086E73">
        <w:rPr>
          <w:rFonts w:ascii="Times New Roman" w:hAnsi="Times New Roman" w:cs="Times New Roman"/>
          <w:sz w:val="28"/>
          <w:szCs w:val="28"/>
          <w:lang w:val="uk-UA"/>
        </w:rPr>
        <w:t>Правил розміщення зовнішньої реклами у м</w:t>
      </w:r>
      <w:r w:rsidR="007C39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25F2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7C39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142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7255F" w:rsidRDefault="0067255F" w:rsidP="006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Перевага обраної альтернативи обумовлена процесами, пов'язаними із забезпеченням зб</w:t>
      </w:r>
      <w:r w:rsidR="00BB3155">
        <w:rPr>
          <w:rFonts w:ascii="Times New Roman" w:hAnsi="Times New Roman" w:cs="Times New Roman"/>
          <w:sz w:val="28"/>
          <w:szCs w:val="28"/>
          <w:lang w:val="uk-UA"/>
        </w:rPr>
        <w:t xml:space="preserve">алансування інтересів </w:t>
      </w:r>
      <w:r>
        <w:rPr>
          <w:rFonts w:ascii="Times New Roman" w:hAnsi="Times New Roman" w:cs="Times New Roman"/>
          <w:sz w:val="28"/>
          <w:szCs w:val="28"/>
          <w:lang w:val="uk-UA"/>
        </w:rPr>
        <w:t>рекламорозповсюджувачів та органів місцевого самоврядування.</w:t>
      </w:r>
    </w:p>
    <w:p w:rsidR="0067255F" w:rsidRDefault="0067255F" w:rsidP="006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55F" w:rsidRPr="0067255F" w:rsidRDefault="0067255F" w:rsidP="00672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55F">
        <w:rPr>
          <w:rFonts w:ascii="Times New Roman" w:hAnsi="Times New Roman" w:cs="Times New Roman"/>
          <w:b/>
          <w:sz w:val="28"/>
          <w:szCs w:val="28"/>
          <w:lang w:val="uk-UA"/>
        </w:rPr>
        <w:t>5. Механізм та заходи, що забезпечать розв'язання визначеної проблеми</w:t>
      </w:r>
    </w:p>
    <w:p w:rsidR="00FE142E" w:rsidRPr="00FE142E" w:rsidRDefault="0067255F" w:rsidP="00FE1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42E" w:rsidRPr="00FE142E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7C3994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="00FE142E" w:rsidRPr="00FE142E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Павлоградської міської ради «Про затвердження Правил розміщення зовнішньої реклами у м</w:t>
      </w:r>
      <w:r w:rsidR="007C39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142E" w:rsidRPr="00FE142E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7C39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142E" w:rsidRPr="00FE142E">
        <w:rPr>
          <w:rFonts w:ascii="Times New Roman" w:hAnsi="Times New Roman" w:cs="Times New Roman"/>
          <w:sz w:val="28"/>
          <w:szCs w:val="28"/>
          <w:lang w:val="uk-UA"/>
        </w:rPr>
        <w:t>» визначає:</w:t>
      </w:r>
    </w:p>
    <w:p w:rsidR="00FE142E" w:rsidRPr="00FE142E" w:rsidRDefault="00FE142E" w:rsidP="00FE1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42E">
        <w:rPr>
          <w:rFonts w:ascii="Times New Roman" w:hAnsi="Times New Roman" w:cs="Times New Roman"/>
          <w:sz w:val="28"/>
          <w:szCs w:val="28"/>
          <w:lang w:val="uk-UA"/>
        </w:rPr>
        <w:t>- порядок дій для отримання дозволу на розміщення зовнішньої реклами на території міста Павлоград»;</w:t>
      </w:r>
    </w:p>
    <w:p w:rsidR="00FE142E" w:rsidRDefault="00FE142E" w:rsidP="00FE1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42E">
        <w:rPr>
          <w:rFonts w:ascii="Times New Roman" w:hAnsi="Times New Roman" w:cs="Times New Roman"/>
          <w:sz w:val="28"/>
          <w:szCs w:val="28"/>
          <w:lang w:val="uk-UA"/>
        </w:rPr>
        <w:t xml:space="preserve">- права та обов'язки виконавчих органів і комунальних </w:t>
      </w:r>
      <w:r w:rsidR="00821959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FE142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суб’єктів господарювання пов'язаних з  отриманням дозволів на розміщення зовнішньої реклами на території міста Павлоград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42E" w:rsidRPr="00FE142E" w:rsidRDefault="00FE142E" w:rsidP="00FE1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606" w:rsidRPr="00E57B30" w:rsidRDefault="008C7606" w:rsidP="00FE1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Оцінка виконання вимог регуляторного акту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 </w:t>
      </w:r>
    </w:p>
    <w:p w:rsidR="00E57B30" w:rsidRDefault="00606A8A" w:rsidP="008C76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Розрахунок витрат на виконання вимог регуляторного акта для органів виконавчої ради чи органів місцевого самоврядування згідно з додатком 3 до Методики проведення а</w:t>
      </w:r>
      <w:r w:rsidR="00905ACA">
        <w:rPr>
          <w:rFonts w:ascii="Times New Roman" w:hAnsi="Times New Roman" w:cs="Times New Roman"/>
          <w:sz w:val="28"/>
          <w:szCs w:val="28"/>
          <w:lang w:val="uk-UA"/>
        </w:rPr>
        <w:t>налізу впливу регуляторного 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(згідно вимог Постанови КМУ від 16.12.2015 року №1151 «Про внесення змін до Постанови КМУ від 11.03.2004 року </w:t>
      </w:r>
      <w:r w:rsidR="00905ACA">
        <w:rPr>
          <w:rFonts w:ascii="Times New Roman" w:hAnsi="Times New Roman" w:cs="Times New Roman"/>
          <w:sz w:val="28"/>
          <w:szCs w:val="28"/>
          <w:lang w:val="uk-UA"/>
        </w:rPr>
        <w:t xml:space="preserve"> № 308) не передбачено.</w:t>
      </w:r>
    </w:p>
    <w:p w:rsidR="00FE142E" w:rsidRDefault="00FE142E" w:rsidP="008C76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 рішення розповсюджується тільки на сферу інтересів суб'єктів господарювання які надають рекламні послуги або матимуть намір на розміщення реклами власної господарської діяльності на території міста Павлоград.</w:t>
      </w:r>
    </w:p>
    <w:p w:rsidR="00FE142E" w:rsidRDefault="00FE142E" w:rsidP="008C76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ACA" w:rsidRPr="00C15166" w:rsidRDefault="00905ACA" w:rsidP="008C76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166">
        <w:rPr>
          <w:rFonts w:ascii="Times New Roman" w:hAnsi="Times New Roman" w:cs="Times New Roman"/>
          <w:b/>
          <w:sz w:val="28"/>
          <w:szCs w:val="28"/>
          <w:lang w:val="uk-UA"/>
        </w:rPr>
        <w:t>7. Обґрунтування запропонованого строку дії регуляторного акта.</w:t>
      </w:r>
    </w:p>
    <w:p w:rsidR="00D4389E" w:rsidRDefault="00905ACA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дії даного регуляторного акт</w:t>
      </w:r>
      <w:r w:rsidR="00D4389E">
        <w:rPr>
          <w:rFonts w:ascii="Times New Roman" w:hAnsi="Times New Roman" w:cs="Times New Roman"/>
          <w:sz w:val="28"/>
          <w:szCs w:val="28"/>
          <w:lang w:val="uk-UA"/>
        </w:rPr>
        <w:t>а встановлюється  5 років.</w:t>
      </w:r>
    </w:p>
    <w:p w:rsidR="00D4389E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аналізу відстеження результативності регуляторного акта, а також у разі потреби та з урахуванням відповідних нормативних актів до нього теж будуть вноситися відповідні зміни.</w:t>
      </w:r>
    </w:p>
    <w:p w:rsidR="00FE142E" w:rsidRPr="009B0E96" w:rsidRDefault="00FE142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89E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166">
        <w:rPr>
          <w:rFonts w:ascii="Times New Roman" w:hAnsi="Times New Roman" w:cs="Times New Roman"/>
          <w:b/>
          <w:sz w:val="28"/>
          <w:szCs w:val="28"/>
          <w:lang w:val="uk-UA"/>
        </w:rPr>
        <w:t>8. Показники результативності регуляторного акта.</w:t>
      </w:r>
    </w:p>
    <w:p w:rsidR="00D4389E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відстеження результативності дії регуляторного акта визначені такі показники:</w:t>
      </w:r>
    </w:p>
    <w:p w:rsidR="00D11B97" w:rsidRDefault="00D11B97" w:rsidP="00D11B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поінформованості суб'єктів господарювання та/ або фізичних осіб.</w:t>
      </w:r>
    </w:p>
    <w:p w:rsidR="00D11B97" w:rsidRDefault="00D11B97" w:rsidP="00D11B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виданих дозволів на розміщення зовнішньої реклами на території міста Павлоград.</w:t>
      </w:r>
    </w:p>
    <w:p w:rsidR="00973AEA" w:rsidRDefault="00973AEA" w:rsidP="00973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Кількість відмов у видачі  дозволів на розміщення зовнішньої реклами на території міста Павлоград.</w:t>
      </w:r>
    </w:p>
    <w:p w:rsidR="00D11B97" w:rsidRPr="00D11B97" w:rsidRDefault="00C83C4B" w:rsidP="00D11B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находження до бюджету Павлоградської міської ради за тимчасове користування місцем розташування рекламних засобів.</w:t>
      </w:r>
    </w:p>
    <w:p w:rsidR="00D11B97" w:rsidRDefault="00C83C4B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Прогнозні показники результативності дії регуляторного акта:</w:t>
      </w:r>
    </w:p>
    <w:p w:rsidR="00C83C4B" w:rsidRPr="00606A8A" w:rsidRDefault="00C83C4B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4001"/>
        <w:gridCol w:w="4819"/>
      </w:tblGrid>
      <w:tr w:rsidR="00D11B97" w:rsidTr="00D11B97">
        <w:tc>
          <w:tcPr>
            <w:tcW w:w="4001" w:type="dxa"/>
          </w:tcPr>
          <w:p w:rsidR="00D11B97" w:rsidRDefault="00AE4ADD" w:rsidP="00D4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4819" w:type="dxa"/>
          </w:tcPr>
          <w:p w:rsidR="00D11B97" w:rsidRPr="00C15166" w:rsidRDefault="00AE4ADD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Показники ……….</w:t>
            </w:r>
          </w:p>
        </w:tc>
      </w:tr>
      <w:tr w:rsidR="00C83C4B" w:rsidRPr="00C83C4B" w:rsidTr="00D11B97">
        <w:tc>
          <w:tcPr>
            <w:tcW w:w="4001" w:type="dxa"/>
          </w:tcPr>
          <w:p w:rsidR="00C83C4B" w:rsidRDefault="00C83C4B" w:rsidP="00D4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виданих дозволів на розміщення зовнішньої реклами на території міста Павлоград</w:t>
            </w:r>
          </w:p>
        </w:tc>
        <w:tc>
          <w:tcPr>
            <w:tcW w:w="4819" w:type="dxa"/>
          </w:tcPr>
          <w:p w:rsidR="00C83C4B" w:rsidRDefault="00AE4ADD" w:rsidP="00AE4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2016 - 30</w:t>
            </w:r>
          </w:p>
          <w:p w:rsidR="00AE4ADD" w:rsidRDefault="00AE4ADD" w:rsidP="00AE4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2017 - 18</w:t>
            </w:r>
          </w:p>
          <w:p w:rsidR="00AE4ADD" w:rsidRDefault="00AE4ADD" w:rsidP="00AE4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2018 - 25</w:t>
            </w:r>
          </w:p>
          <w:p w:rsidR="00AE4ADD" w:rsidRDefault="00AE4ADD" w:rsidP="00AE4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2019- 74</w:t>
            </w:r>
          </w:p>
          <w:p w:rsidR="00AE4ADD" w:rsidRPr="00AE4ADD" w:rsidRDefault="00AE4ADD" w:rsidP="00AE4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станом на 01.08.2020 - 36</w:t>
            </w:r>
          </w:p>
        </w:tc>
      </w:tr>
      <w:tr w:rsidR="00C83C4B" w:rsidRPr="00C83C4B" w:rsidTr="00D11B97">
        <w:tc>
          <w:tcPr>
            <w:tcW w:w="4001" w:type="dxa"/>
          </w:tcPr>
          <w:p w:rsidR="00C83C4B" w:rsidRDefault="00C83C4B" w:rsidP="00D4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відмов у видачі  дозволів на розміщення зовнішньої реклами на території міста Павлоград.</w:t>
            </w:r>
          </w:p>
        </w:tc>
        <w:tc>
          <w:tcPr>
            <w:tcW w:w="4819" w:type="dxa"/>
          </w:tcPr>
          <w:p w:rsidR="00C83C4B" w:rsidRPr="00AE4ADD" w:rsidRDefault="00AE4ADD" w:rsidP="00AE4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4ADD" w:rsidRPr="00C83C4B" w:rsidTr="00D11B97">
        <w:tc>
          <w:tcPr>
            <w:tcW w:w="4001" w:type="dxa"/>
          </w:tcPr>
          <w:p w:rsidR="00AE4ADD" w:rsidRPr="00AE4ADD" w:rsidRDefault="00AE4ADD" w:rsidP="00AE4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находження до бюджету Павлоградської міської ради за тимчасове користування місцем розташування рекламних засобів.</w:t>
            </w:r>
          </w:p>
          <w:p w:rsidR="00AE4ADD" w:rsidRPr="00C83C4B" w:rsidRDefault="00AE4ADD" w:rsidP="00D4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AE4ADD" w:rsidRPr="00AE4ADD" w:rsidRDefault="00AE4ADD" w:rsidP="00AE4A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  <w:r w:rsidR="00AB79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</w:t>
            </w:r>
            <w:r w:rsidRPr="00AE4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AB79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AE4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269 618,43 грн.</w:t>
            </w:r>
          </w:p>
          <w:p w:rsidR="00AE4ADD" w:rsidRPr="00AE4ADD" w:rsidRDefault="00AE4ADD" w:rsidP="00AE4A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ADD">
              <w:rPr>
                <w:rFonts w:ascii="Times New Roman" w:eastAsia="Calibri" w:hAnsi="Times New Roman" w:cs="Times New Roman"/>
                <w:sz w:val="28"/>
                <w:szCs w:val="28"/>
              </w:rPr>
              <w:t>2017р. – 1 632 439,19 грн.</w:t>
            </w:r>
          </w:p>
          <w:p w:rsidR="00AE4ADD" w:rsidRPr="00AE4ADD" w:rsidRDefault="00AE4ADD" w:rsidP="00AE4A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ADD">
              <w:rPr>
                <w:rFonts w:ascii="Times New Roman" w:eastAsia="Calibri" w:hAnsi="Times New Roman" w:cs="Times New Roman"/>
                <w:sz w:val="28"/>
                <w:szCs w:val="28"/>
              </w:rPr>
              <w:t>2018р. – 1 779 711,67 грн.</w:t>
            </w:r>
          </w:p>
          <w:p w:rsidR="00AE4ADD" w:rsidRPr="00AE4ADD" w:rsidRDefault="00AE4ADD" w:rsidP="00AE4A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4ADD">
              <w:rPr>
                <w:rFonts w:ascii="Times New Roman" w:eastAsia="Calibri" w:hAnsi="Times New Roman" w:cs="Times New Roman"/>
                <w:sz w:val="28"/>
                <w:szCs w:val="28"/>
              </w:rPr>
              <w:t>2019 р.– 2 211 484,98 грн.</w:t>
            </w:r>
          </w:p>
          <w:p w:rsidR="00AE4ADD" w:rsidRPr="00AE4ADD" w:rsidRDefault="00AE4ADD" w:rsidP="00AE4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11B97" w:rsidTr="00D11B97">
        <w:tc>
          <w:tcPr>
            <w:tcW w:w="4001" w:type="dxa"/>
          </w:tcPr>
          <w:p w:rsidR="00D11B97" w:rsidRDefault="00AE4ADD" w:rsidP="00D4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поінформованості суб'єктів господарювання та/або фізичних осіб основних положень акта.</w:t>
            </w:r>
          </w:p>
          <w:p w:rsidR="00AE4ADD" w:rsidRDefault="00AE4ADD" w:rsidP="00D4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Оприлюднення повідомлення, проект рішення, АВР на офіційному сайті Павлоградської міської ради.</w:t>
            </w:r>
          </w:p>
        </w:tc>
        <w:tc>
          <w:tcPr>
            <w:tcW w:w="4819" w:type="dxa"/>
          </w:tcPr>
          <w:p w:rsidR="00D11B97" w:rsidRPr="00AE4ADD" w:rsidRDefault="00AE4ADD" w:rsidP="00AE4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100 %</w:t>
            </w:r>
          </w:p>
        </w:tc>
      </w:tr>
    </w:tbl>
    <w:p w:rsidR="00C15166" w:rsidRDefault="00C15166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89E" w:rsidRPr="00C15166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C15166">
        <w:rPr>
          <w:rFonts w:ascii="Times New Roman" w:hAnsi="Times New Roman" w:cs="Times New Roman"/>
          <w:b/>
          <w:sz w:val="28"/>
          <w:szCs w:val="28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D4389E" w:rsidRDefault="00693F5B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відстеження результативності регуляторного акта </w:t>
      </w:r>
      <w:r w:rsidR="00C15166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комунального господарства та будівництва Павлоградської міської ради.</w:t>
      </w:r>
    </w:p>
    <w:p w:rsidR="00693F5B" w:rsidRDefault="00693F5B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відстеження будуть використовуватись статистичні дані </w:t>
      </w:r>
      <w:r w:rsidR="0010360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господарства та будівництва Павлоградської міської ради та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 Павлоградської міської ради за відповідний період, що передує даті початку виконання заходів з відстеження.</w:t>
      </w:r>
    </w:p>
    <w:p w:rsidR="00C15166" w:rsidRDefault="00C15166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Відносно регуляторного акта здійснюватиметься базове, повторне та періодичне відстеження його результативності.</w:t>
      </w:r>
    </w:p>
    <w:p w:rsidR="00CF479D" w:rsidRDefault="00CF479D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Базове відстеження результативності дії регуляторного акта буде проведене одразу після набрання чинності регуляторним актом.</w:t>
      </w:r>
    </w:p>
    <w:p w:rsidR="00CF479D" w:rsidRDefault="00CF479D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Повторне відстеження планується провести через рік після набуття чинності регуляторного акту.</w:t>
      </w:r>
    </w:p>
    <w:p w:rsidR="00CF479D" w:rsidRDefault="00CF479D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Періодичне відстеження планується проводити один раз на три роки, починаючи від дня закінчення заходів з повторного відстеження результативності.</w:t>
      </w:r>
    </w:p>
    <w:p w:rsidR="003553E4" w:rsidRDefault="003553E4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проведення відстежень буде можливо порівняти показники результативності дії регуляторного акта. У разі виявлення неврегульованих та проблемних питань, вони будуть усунені шляхом внесення відповідних змін до регуляторного акта.</w:t>
      </w:r>
    </w:p>
    <w:p w:rsidR="003553E4" w:rsidRDefault="003553E4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5" w:rsidRDefault="00EF2825" w:rsidP="00EF282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 </w:t>
      </w: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4"/>
        <w:gridCol w:w="2380"/>
        <w:gridCol w:w="2367"/>
      </w:tblGrid>
      <w:tr w:rsidR="00EF2825" w:rsidRPr="00EF2825" w:rsidTr="008422E7">
        <w:tc>
          <w:tcPr>
            <w:tcW w:w="9982" w:type="dxa"/>
            <w:gridSpan w:val="3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КОНТРОЛЬНИЙ ПЕРЕЛІК ПИТАНЬ</w:t>
            </w:r>
          </w:p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для оцінки впливу нормативно-правового акта (проекту акта) на конкуренцію</w:t>
            </w:r>
          </w:p>
        </w:tc>
      </w:tr>
      <w:tr w:rsidR="00EF2825" w:rsidRPr="00EF2825" w:rsidTr="008422E7">
        <w:tc>
          <w:tcPr>
            <w:tcW w:w="4991" w:type="dxa"/>
            <w:vMerge w:val="restart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 призводить чи може призвести нормативно-правовий акт (проект акта) до наступних наслідків: </w:t>
            </w:r>
          </w:p>
        </w:tc>
        <w:tc>
          <w:tcPr>
            <w:tcW w:w="4991" w:type="dxa"/>
            <w:gridSpan w:val="2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Відповідь</w:t>
            </w:r>
          </w:p>
        </w:tc>
      </w:tr>
      <w:tr w:rsidR="00EF2825" w:rsidRPr="00EF2825" w:rsidTr="008422E7">
        <w:tc>
          <w:tcPr>
            <w:tcW w:w="4991" w:type="dxa"/>
            <w:vMerge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Ні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Обмежує кількість або звужує коло постачальників Такий наслідок може мати місце, якщо нормативно-правовий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1. Надає суб’єкту господарювання виключні права на поставку товарів чи послуг;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2. Запроваджує режим ліцензування, надання дозволу або вимогу погодження підприємницької діяльності із органами влади;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Обмежує здатність окремих категорій підприємців постачати товари чи надавати послуги </w:t>
            </w: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(звужує коло учасників ринку);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Значно підвищує вартість входження в ринок або виходу з нього;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5. Створює географічний бар’єр для поставки товарів, виконання робіт, надання послуг або інвестицій.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Б. Обмежує здатність постачальників конкурувати Такий наслідок може мати місце, якщо нормативно-правовий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1. Обмежує здатність підприємців визначати ціни на товари та послуги;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3. Обмежує можливості постачальників рекламувати або здійснювати маркетинг їх товарів чи послуг;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4. Встановлює стандарти якості, що надають необґрунтовану перевагу окремим постачальникам порівняно з іншими, або стандарти вищого рівня якості, ніж той, який обрали б окремі достатньо проінформовані споживачі;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5. Суттєво збільшує витрати окремих суб’єктів господарювання порівняно з іншими (зокрема, внаслідок дискримінаційного ставлення до діючих та нових учасників ринку).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 Зменшує мотивацію постачальників до активної </w:t>
            </w: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конкуренції Такий наслідок може мати місце, якщо нормативно-правовий 40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Запроваджує режим саморегулювання або спільного регулювання;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2. Вимагає або заохочує публікувати інформацію про обсяги виробництва чи реалізації, ціни та витрати підприємств;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Обмежує вибір та доступ споживачів до необхідної інформації Такий наслідок може мати місце, якщо нормативно-правовий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1. Обмежує здатність споживачів вирішувати, у кого купувати товар;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6. Знижує мобільність споживачів внаслідок підвищення прямих або непрямих витрат на заміну постачальника.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7. Суттєво обмежує чи змінює інформацію, необхідну для прийняття раціонального рішення щодо придбання чи продажу товарів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EF2825" w:rsidRPr="00EF2825" w:rsidRDefault="00EF2825" w:rsidP="00EF2825">
      <w:pPr>
        <w:tabs>
          <w:tab w:val="left" w:pos="0"/>
        </w:tabs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9EF" w:rsidRPr="00A73D50" w:rsidRDefault="00AB79EF" w:rsidP="00AB79E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73D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AB79EF" w:rsidRDefault="00AB79EF" w:rsidP="00AB79E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73D50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та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А.Ю. Завгородній</w:t>
      </w:r>
    </w:p>
    <w:p w:rsidR="00AB79EF" w:rsidRDefault="00AB79EF" w:rsidP="00AB7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9EF" w:rsidRDefault="00AB79EF" w:rsidP="00AB7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9EF" w:rsidRDefault="00AB79EF" w:rsidP="00AB7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9EF" w:rsidRDefault="00AB79EF" w:rsidP="00AB7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AB79EF" w:rsidRDefault="00527BAF" w:rsidP="00AB7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B79EF">
        <w:rPr>
          <w:rFonts w:ascii="Times New Roman" w:hAnsi="Times New Roman" w:cs="Times New Roman"/>
          <w:sz w:val="28"/>
          <w:szCs w:val="28"/>
          <w:lang w:val="uk-UA"/>
        </w:rPr>
        <w:t>ерший заступник міського голови</w:t>
      </w:r>
      <w:r w:rsidR="00AB79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79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79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79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79EF">
        <w:rPr>
          <w:rFonts w:ascii="Times New Roman" w:hAnsi="Times New Roman" w:cs="Times New Roman"/>
          <w:sz w:val="28"/>
          <w:szCs w:val="28"/>
          <w:lang w:val="uk-UA"/>
        </w:rPr>
        <w:tab/>
        <w:t>В.С.Мовчан</w:t>
      </w:r>
    </w:p>
    <w:sectPr w:rsidR="00AB79EF" w:rsidSect="000810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7F" w:rsidRDefault="00FD017F" w:rsidP="000810D8">
      <w:pPr>
        <w:spacing w:after="0" w:line="240" w:lineRule="auto"/>
      </w:pPr>
      <w:r>
        <w:separator/>
      </w:r>
    </w:p>
  </w:endnote>
  <w:endnote w:type="continuationSeparator" w:id="0">
    <w:p w:rsidR="00FD017F" w:rsidRDefault="00FD017F" w:rsidP="0008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7F" w:rsidRDefault="00FD017F" w:rsidP="000810D8">
      <w:pPr>
        <w:spacing w:after="0" w:line="240" w:lineRule="auto"/>
      </w:pPr>
      <w:r>
        <w:separator/>
      </w:r>
    </w:p>
  </w:footnote>
  <w:footnote w:type="continuationSeparator" w:id="0">
    <w:p w:rsidR="00FD017F" w:rsidRDefault="00FD017F" w:rsidP="0008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6313"/>
      <w:docPartObj>
        <w:docPartGallery w:val="Page Numbers (Top of Page)"/>
        <w:docPartUnique/>
      </w:docPartObj>
    </w:sdtPr>
    <w:sdtContent>
      <w:p w:rsidR="000810D8" w:rsidRDefault="00376850">
        <w:pPr>
          <w:pStyle w:val="a5"/>
          <w:jc w:val="center"/>
        </w:pPr>
        <w:fldSimple w:instr=" PAGE   \* MERGEFORMAT ">
          <w:r w:rsidR="00453A59">
            <w:rPr>
              <w:noProof/>
            </w:rPr>
            <w:t>2</w:t>
          </w:r>
        </w:fldSimple>
      </w:p>
    </w:sdtContent>
  </w:sdt>
  <w:p w:rsidR="000810D8" w:rsidRDefault="000810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38D"/>
    <w:multiLevelType w:val="hybridMultilevel"/>
    <w:tmpl w:val="E7F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FB9"/>
    <w:multiLevelType w:val="hybridMultilevel"/>
    <w:tmpl w:val="39DC3760"/>
    <w:lvl w:ilvl="0" w:tplc="1BF4DA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47BA"/>
    <w:multiLevelType w:val="hybridMultilevel"/>
    <w:tmpl w:val="9EF83F9C"/>
    <w:lvl w:ilvl="0" w:tplc="1978511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54961"/>
    <w:multiLevelType w:val="hybridMultilevel"/>
    <w:tmpl w:val="5618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36BE6"/>
    <w:multiLevelType w:val="hybridMultilevel"/>
    <w:tmpl w:val="7D9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04FE0"/>
    <w:multiLevelType w:val="hybridMultilevel"/>
    <w:tmpl w:val="5618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E19C4"/>
    <w:multiLevelType w:val="hybridMultilevel"/>
    <w:tmpl w:val="5618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529"/>
    <w:rsid w:val="00012B5F"/>
    <w:rsid w:val="000750DE"/>
    <w:rsid w:val="000810D8"/>
    <w:rsid w:val="00086E73"/>
    <w:rsid w:val="000A7F13"/>
    <w:rsid w:val="000F6677"/>
    <w:rsid w:val="0010360F"/>
    <w:rsid w:val="00114E3C"/>
    <w:rsid w:val="00115B2A"/>
    <w:rsid w:val="001226BB"/>
    <w:rsid w:val="00127846"/>
    <w:rsid w:val="00134DE5"/>
    <w:rsid w:val="00142EC5"/>
    <w:rsid w:val="001633ED"/>
    <w:rsid w:val="00164404"/>
    <w:rsid w:val="0016691A"/>
    <w:rsid w:val="00174337"/>
    <w:rsid w:val="001A7D6C"/>
    <w:rsid w:val="001B50B0"/>
    <w:rsid w:val="001D37E0"/>
    <w:rsid w:val="00242F20"/>
    <w:rsid w:val="00245F00"/>
    <w:rsid w:val="00251773"/>
    <w:rsid w:val="002563D6"/>
    <w:rsid w:val="00256882"/>
    <w:rsid w:val="00264F9C"/>
    <w:rsid w:val="002B5418"/>
    <w:rsid w:val="002B61E6"/>
    <w:rsid w:val="002B7351"/>
    <w:rsid w:val="002C26A6"/>
    <w:rsid w:val="002C4DC9"/>
    <w:rsid w:val="002F4AE7"/>
    <w:rsid w:val="00311F3D"/>
    <w:rsid w:val="00327850"/>
    <w:rsid w:val="00331646"/>
    <w:rsid w:val="003553E4"/>
    <w:rsid w:val="0035701C"/>
    <w:rsid w:val="00376850"/>
    <w:rsid w:val="003979EE"/>
    <w:rsid w:val="003B14E3"/>
    <w:rsid w:val="003B2798"/>
    <w:rsid w:val="004104BD"/>
    <w:rsid w:val="00414880"/>
    <w:rsid w:val="00433394"/>
    <w:rsid w:val="00450529"/>
    <w:rsid w:val="00452B5C"/>
    <w:rsid w:val="00453A59"/>
    <w:rsid w:val="004B5F43"/>
    <w:rsid w:val="004B6638"/>
    <w:rsid w:val="004F1B52"/>
    <w:rsid w:val="004F5A2D"/>
    <w:rsid w:val="00507B71"/>
    <w:rsid w:val="00515BF3"/>
    <w:rsid w:val="00527BAF"/>
    <w:rsid w:val="00543AA9"/>
    <w:rsid w:val="00547564"/>
    <w:rsid w:val="0055644A"/>
    <w:rsid w:val="00562433"/>
    <w:rsid w:val="005A1C71"/>
    <w:rsid w:val="005E3F2E"/>
    <w:rsid w:val="00606A8A"/>
    <w:rsid w:val="00621F9F"/>
    <w:rsid w:val="0062683D"/>
    <w:rsid w:val="0064330E"/>
    <w:rsid w:val="00657E47"/>
    <w:rsid w:val="00662CBA"/>
    <w:rsid w:val="0067255F"/>
    <w:rsid w:val="00693F5B"/>
    <w:rsid w:val="006B25F2"/>
    <w:rsid w:val="006B4963"/>
    <w:rsid w:val="006C4B97"/>
    <w:rsid w:val="006E106E"/>
    <w:rsid w:val="007322F9"/>
    <w:rsid w:val="00761F7F"/>
    <w:rsid w:val="007905DE"/>
    <w:rsid w:val="007A0D91"/>
    <w:rsid w:val="007B4DF5"/>
    <w:rsid w:val="007C3994"/>
    <w:rsid w:val="007D6909"/>
    <w:rsid w:val="00821959"/>
    <w:rsid w:val="00840BCB"/>
    <w:rsid w:val="008464F9"/>
    <w:rsid w:val="00880D25"/>
    <w:rsid w:val="00885D5A"/>
    <w:rsid w:val="008877DF"/>
    <w:rsid w:val="008922A1"/>
    <w:rsid w:val="008B7934"/>
    <w:rsid w:val="008C152A"/>
    <w:rsid w:val="008C7606"/>
    <w:rsid w:val="008D2D20"/>
    <w:rsid w:val="00905ACA"/>
    <w:rsid w:val="009367C2"/>
    <w:rsid w:val="00937494"/>
    <w:rsid w:val="009729B5"/>
    <w:rsid w:val="00973AEA"/>
    <w:rsid w:val="009B0E96"/>
    <w:rsid w:val="009E63C2"/>
    <w:rsid w:val="00A16E69"/>
    <w:rsid w:val="00A20E22"/>
    <w:rsid w:val="00A237A5"/>
    <w:rsid w:val="00A2737D"/>
    <w:rsid w:val="00A2753E"/>
    <w:rsid w:val="00A3089C"/>
    <w:rsid w:val="00A47188"/>
    <w:rsid w:val="00A6071D"/>
    <w:rsid w:val="00A94CE8"/>
    <w:rsid w:val="00AB79EF"/>
    <w:rsid w:val="00AE4351"/>
    <w:rsid w:val="00AE4ADD"/>
    <w:rsid w:val="00AF513F"/>
    <w:rsid w:val="00B31415"/>
    <w:rsid w:val="00B35F9A"/>
    <w:rsid w:val="00B94713"/>
    <w:rsid w:val="00B94777"/>
    <w:rsid w:val="00B97B6F"/>
    <w:rsid w:val="00BA355D"/>
    <w:rsid w:val="00BB3155"/>
    <w:rsid w:val="00BC54B6"/>
    <w:rsid w:val="00BC7B07"/>
    <w:rsid w:val="00BD1821"/>
    <w:rsid w:val="00C1417D"/>
    <w:rsid w:val="00C1510C"/>
    <w:rsid w:val="00C15166"/>
    <w:rsid w:val="00C52BAD"/>
    <w:rsid w:val="00C5600F"/>
    <w:rsid w:val="00C8068D"/>
    <w:rsid w:val="00C83C4B"/>
    <w:rsid w:val="00C93175"/>
    <w:rsid w:val="00C9580F"/>
    <w:rsid w:val="00CA4EE2"/>
    <w:rsid w:val="00CD7A6C"/>
    <w:rsid w:val="00CF479D"/>
    <w:rsid w:val="00D11B97"/>
    <w:rsid w:val="00D33229"/>
    <w:rsid w:val="00D4389E"/>
    <w:rsid w:val="00D43E3A"/>
    <w:rsid w:val="00D52DA7"/>
    <w:rsid w:val="00D82EB0"/>
    <w:rsid w:val="00D953C9"/>
    <w:rsid w:val="00D96645"/>
    <w:rsid w:val="00DA17D6"/>
    <w:rsid w:val="00DA3F5D"/>
    <w:rsid w:val="00DC0D3E"/>
    <w:rsid w:val="00E02A97"/>
    <w:rsid w:val="00E263BB"/>
    <w:rsid w:val="00E411C5"/>
    <w:rsid w:val="00E53CB8"/>
    <w:rsid w:val="00E57154"/>
    <w:rsid w:val="00E57B30"/>
    <w:rsid w:val="00E756C0"/>
    <w:rsid w:val="00E81659"/>
    <w:rsid w:val="00E95210"/>
    <w:rsid w:val="00E976F8"/>
    <w:rsid w:val="00ED2817"/>
    <w:rsid w:val="00ED4E01"/>
    <w:rsid w:val="00EF2825"/>
    <w:rsid w:val="00F12202"/>
    <w:rsid w:val="00F12390"/>
    <w:rsid w:val="00F23CC8"/>
    <w:rsid w:val="00F61C5E"/>
    <w:rsid w:val="00F80CFD"/>
    <w:rsid w:val="00F855E0"/>
    <w:rsid w:val="00F876DD"/>
    <w:rsid w:val="00F97A0B"/>
    <w:rsid w:val="00FA1787"/>
    <w:rsid w:val="00FD017F"/>
    <w:rsid w:val="00FE142E"/>
    <w:rsid w:val="00FE57BA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BD"/>
    <w:pPr>
      <w:ind w:left="720"/>
      <w:contextualSpacing/>
    </w:pPr>
  </w:style>
  <w:style w:type="table" w:styleId="a4">
    <w:name w:val="Table Grid"/>
    <w:basedOn w:val="a1"/>
    <w:uiPriority w:val="59"/>
    <w:rsid w:val="00D3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0D8"/>
  </w:style>
  <w:style w:type="paragraph" w:styleId="a7">
    <w:name w:val="footer"/>
    <w:basedOn w:val="a"/>
    <w:link w:val="a8"/>
    <w:uiPriority w:val="99"/>
    <w:semiHidden/>
    <w:unhideWhenUsed/>
    <w:rsid w:val="000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5505-5BF1-41D1-BF83-2BF6BAA8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2020-08-18T07:20:00Z</cp:lastPrinted>
  <dcterms:created xsi:type="dcterms:W3CDTF">2020-08-17T08:05:00Z</dcterms:created>
  <dcterms:modified xsi:type="dcterms:W3CDTF">2020-08-18T07:23:00Z</dcterms:modified>
</cp:coreProperties>
</file>