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2D5E" w:rsidRPr="00343486" w:rsidRDefault="00582D5E">
      <w:pPr>
        <w:shd w:val="clear" w:color="auto" w:fill="FFFFFF"/>
        <w:spacing w:before="240" w:after="240" w:line="240" w:lineRule="auto"/>
        <w:ind w:right="30"/>
        <w:jc w:val="center"/>
        <w:rPr>
          <w:rFonts w:ascii="Times New Roman" w:hAnsi="Times New Roman" w:cs="Times New Roman"/>
          <w:b/>
          <w:sz w:val="24"/>
          <w:szCs w:val="24"/>
        </w:rPr>
      </w:pPr>
      <w:r w:rsidRPr="00343486">
        <w:rPr>
          <w:rFonts w:ascii="Times New Roman" w:hAnsi="Times New Roman" w:cs="Times New Roman"/>
          <w:b/>
          <w:sz w:val="24"/>
          <w:szCs w:val="24"/>
        </w:rPr>
        <w:t>ЗАЯВА</w:t>
      </w:r>
    </w:p>
    <w:p w:rsidR="00582D5E" w:rsidRPr="00343486" w:rsidRDefault="00582D5E" w:rsidP="00F50ECB">
      <w:pPr>
        <w:shd w:val="clear" w:color="auto" w:fill="FFFFFF"/>
        <w:spacing w:before="240" w:after="240" w:line="240" w:lineRule="auto"/>
        <w:ind w:right="30"/>
        <w:jc w:val="center"/>
        <w:rPr>
          <w:rFonts w:ascii="Times New Roman" w:hAnsi="Times New Roman" w:cs="Times New Roman"/>
          <w:b/>
          <w:sz w:val="24"/>
          <w:szCs w:val="24"/>
        </w:rPr>
      </w:pPr>
      <w:r w:rsidRPr="00343486">
        <w:rPr>
          <w:rFonts w:ascii="Times New Roman" w:hAnsi="Times New Roman" w:cs="Times New Roman"/>
          <w:b/>
          <w:sz w:val="24"/>
          <w:szCs w:val="24"/>
        </w:rPr>
        <w:t>про визначення обсягу стратегічної екологічної оцінки</w:t>
      </w:r>
      <w:r w:rsidRPr="00343486">
        <w:rPr>
          <w:rFonts w:ascii="Times New Roman" w:hAnsi="Times New Roman" w:cs="Times New Roman"/>
          <w:b/>
          <w:sz w:val="24"/>
          <w:szCs w:val="24"/>
        </w:rPr>
        <w:br/>
        <w:t>документу державного планування</w:t>
      </w:r>
      <w:r w:rsidRPr="00343486">
        <w:rPr>
          <w:rFonts w:ascii="Times New Roman" w:hAnsi="Times New Roman" w:cs="Times New Roman"/>
          <w:b/>
          <w:sz w:val="24"/>
          <w:szCs w:val="24"/>
        </w:rPr>
        <w:br/>
      </w:r>
      <w:r w:rsidRPr="00343486">
        <w:rPr>
          <w:rFonts w:ascii="Times New Roman" w:hAnsi="Times New Roman" w:cs="Times New Roman"/>
          <w:sz w:val="24"/>
          <w:szCs w:val="24"/>
        </w:rPr>
        <w:t>«Детальний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w:t>
      </w:r>
    </w:p>
    <w:p w:rsidR="00582D5E" w:rsidRPr="00343486" w:rsidRDefault="00582D5E">
      <w:pPr>
        <w:shd w:val="clear" w:color="auto" w:fill="FFFFFF"/>
        <w:spacing w:after="160" w:line="240" w:lineRule="auto"/>
        <w:ind w:right="30"/>
        <w:rPr>
          <w:rFonts w:ascii="Times New Roman" w:hAnsi="Times New Roman" w:cs="Times New Roman"/>
          <w:sz w:val="24"/>
          <w:szCs w:val="24"/>
        </w:rPr>
      </w:pPr>
      <w:r w:rsidRPr="00343486">
        <w:rPr>
          <w:rFonts w:ascii="Times New Roman" w:hAnsi="Times New Roman" w:cs="Times New Roman"/>
          <w:b/>
          <w:i/>
          <w:sz w:val="24"/>
          <w:szCs w:val="24"/>
          <w:u w:val="single"/>
        </w:rPr>
        <w:t>Акроніми та абревіатури</w:t>
      </w:r>
      <w:r w:rsidRPr="00343486">
        <w:rPr>
          <w:rFonts w:ascii="Times New Roman" w:hAnsi="Times New Roman" w:cs="Times New Roman"/>
          <w:b/>
          <w:sz w:val="24"/>
          <w:szCs w:val="24"/>
        </w:rPr>
        <w:br/>
      </w:r>
      <w:r w:rsidRPr="00343486">
        <w:rPr>
          <w:rFonts w:ascii="Times New Roman" w:hAnsi="Times New Roman" w:cs="Times New Roman"/>
          <w:sz w:val="24"/>
          <w:szCs w:val="24"/>
        </w:rPr>
        <w:t>ДБН</w:t>
      </w:r>
      <w:r w:rsidRPr="00343486">
        <w:rPr>
          <w:rFonts w:ascii="Times New Roman" w:hAnsi="Times New Roman" w:cs="Times New Roman"/>
          <w:sz w:val="24"/>
          <w:szCs w:val="24"/>
        </w:rPr>
        <w:tab/>
      </w:r>
      <w:r w:rsidRPr="00343486">
        <w:rPr>
          <w:rFonts w:ascii="Times New Roman" w:hAnsi="Times New Roman" w:cs="Times New Roman"/>
          <w:sz w:val="24"/>
          <w:szCs w:val="24"/>
        </w:rPr>
        <w:tab/>
        <w:t>Державні будівельні норми</w:t>
      </w:r>
      <w:r w:rsidRPr="00343486">
        <w:rPr>
          <w:rFonts w:ascii="Times New Roman" w:hAnsi="Times New Roman" w:cs="Times New Roman"/>
          <w:sz w:val="24"/>
          <w:szCs w:val="24"/>
        </w:rPr>
        <w:br/>
        <w:t xml:space="preserve">ДПТ </w:t>
      </w:r>
      <w:r w:rsidRPr="00343486">
        <w:rPr>
          <w:rFonts w:ascii="Times New Roman" w:hAnsi="Times New Roman" w:cs="Times New Roman"/>
          <w:sz w:val="24"/>
          <w:szCs w:val="24"/>
        </w:rPr>
        <w:tab/>
      </w:r>
      <w:r w:rsidRPr="00343486">
        <w:rPr>
          <w:rFonts w:ascii="Times New Roman" w:hAnsi="Times New Roman" w:cs="Times New Roman"/>
          <w:sz w:val="24"/>
          <w:szCs w:val="24"/>
        </w:rPr>
        <w:tab/>
        <w:t>Детальний план території</w:t>
      </w:r>
      <w:r w:rsidRPr="00343486">
        <w:rPr>
          <w:rFonts w:ascii="Times New Roman" w:hAnsi="Times New Roman" w:cs="Times New Roman"/>
          <w:sz w:val="24"/>
          <w:szCs w:val="24"/>
        </w:rPr>
        <w:br/>
        <w:t>ДДП</w:t>
      </w:r>
      <w:r w:rsidRPr="00343486">
        <w:rPr>
          <w:rFonts w:ascii="Times New Roman" w:hAnsi="Times New Roman" w:cs="Times New Roman"/>
          <w:sz w:val="24"/>
          <w:szCs w:val="24"/>
        </w:rPr>
        <w:tab/>
      </w:r>
      <w:r w:rsidRPr="00343486">
        <w:rPr>
          <w:rFonts w:ascii="Times New Roman" w:hAnsi="Times New Roman" w:cs="Times New Roman"/>
          <w:sz w:val="24"/>
          <w:szCs w:val="24"/>
        </w:rPr>
        <w:tab/>
        <w:t>Документ державного планування</w:t>
      </w:r>
      <w:r w:rsidRPr="00343486">
        <w:rPr>
          <w:rFonts w:ascii="Times New Roman" w:hAnsi="Times New Roman" w:cs="Times New Roman"/>
          <w:sz w:val="24"/>
          <w:szCs w:val="24"/>
        </w:rPr>
        <w:br/>
        <w:t xml:space="preserve">ДСТУ </w:t>
      </w:r>
      <w:r w:rsidRPr="00343486">
        <w:rPr>
          <w:rFonts w:ascii="Times New Roman" w:hAnsi="Times New Roman" w:cs="Times New Roman"/>
          <w:sz w:val="24"/>
          <w:szCs w:val="24"/>
        </w:rPr>
        <w:tab/>
      </w:r>
      <w:r w:rsidRPr="00343486">
        <w:rPr>
          <w:rFonts w:ascii="Times New Roman" w:hAnsi="Times New Roman" w:cs="Times New Roman"/>
          <w:sz w:val="24"/>
          <w:szCs w:val="24"/>
        </w:rPr>
        <w:tab/>
        <w:t>Державний стандарт України</w:t>
      </w:r>
      <w:r w:rsidRPr="00343486">
        <w:rPr>
          <w:rFonts w:ascii="Times New Roman" w:hAnsi="Times New Roman" w:cs="Times New Roman"/>
          <w:sz w:val="24"/>
          <w:szCs w:val="24"/>
        </w:rPr>
        <w:br/>
      </w:r>
      <w:r w:rsidRPr="00343486">
        <w:rPr>
          <w:rFonts w:ascii="Times New Roman" w:hAnsi="Times New Roman" w:cs="Times New Roman"/>
          <w:sz w:val="24"/>
          <w:szCs w:val="24"/>
          <w:highlight w:val="white"/>
        </w:rPr>
        <w:t>ДСанПіН</w:t>
      </w:r>
      <w:r w:rsidRPr="00343486">
        <w:rPr>
          <w:rFonts w:ascii="Times New Roman" w:hAnsi="Times New Roman" w:cs="Times New Roman"/>
          <w:sz w:val="24"/>
          <w:szCs w:val="24"/>
          <w:highlight w:val="white"/>
        </w:rPr>
        <w:tab/>
        <w:t>Державні санітарні правила і норми</w:t>
      </w:r>
      <w:r w:rsidRPr="00343486">
        <w:rPr>
          <w:rFonts w:ascii="Times New Roman" w:hAnsi="Times New Roman" w:cs="Times New Roman"/>
          <w:sz w:val="24"/>
          <w:szCs w:val="24"/>
          <w:highlight w:val="white"/>
        </w:rPr>
        <w:br/>
      </w:r>
      <w:r w:rsidRPr="00343486">
        <w:rPr>
          <w:rFonts w:ascii="Times New Roman" w:hAnsi="Times New Roman" w:cs="Times New Roman"/>
          <w:sz w:val="24"/>
          <w:szCs w:val="24"/>
        </w:rPr>
        <w:t>ПЗФ</w:t>
      </w:r>
      <w:r w:rsidRPr="00343486">
        <w:rPr>
          <w:rFonts w:ascii="Times New Roman" w:hAnsi="Times New Roman" w:cs="Times New Roman"/>
          <w:sz w:val="24"/>
          <w:szCs w:val="24"/>
        </w:rPr>
        <w:tab/>
      </w:r>
      <w:r w:rsidRPr="00343486">
        <w:rPr>
          <w:rFonts w:ascii="Times New Roman" w:hAnsi="Times New Roman" w:cs="Times New Roman"/>
          <w:sz w:val="24"/>
          <w:szCs w:val="24"/>
        </w:rPr>
        <w:tab/>
        <w:t>Природно-заповідний фонд</w:t>
      </w:r>
      <w:r w:rsidRPr="00343486">
        <w:rPr>
          <w:rFonts w:ascii="Times New Roman" w:hAnsi="Times New Roman" w:cs="Times New Roman"/>
          <w:sz w:val="24"/>
          <w:szCs w:val="24"/>
        </w:rPr>
        <w:br/>
        <w:t>СЕО</w:t>
      </w:r>
      <w:r w:rsidRPr="00343486">
        <w:rPr>
          <w:rFonts w:ascii="Times New Roman" w:hAnsi="Times New Roman" w:cs="Times New Roman"/>
          <w:sz w:val="24"/>
          <w:szCs w:val="24"/>
        </w:rPr>
        <w:tab/>
      </w:r>
      <w:r w:rsidRPr="00343486">
        <w:rPr>
          <w:rFonts w:ascii="Times New Roman" w:hAnsi="Times New Roman" w:cs="Times New Roman"/>
          <w:sz w:val="24"/>
          <w:szCs w:val="24"/>
        </w:rPr>
        <w:tab/>
        <w:t>Процедура стратегічної екологічної оцінки документу державного планування</w:t>
      </w:r>
      <w:r w:rsidRPr="00343486">
        <w:rPr>
          <w:rFonts w:ascii="Times New Roman" w:hAnsi="Times New Roman" w:cs="Times New Roman"/>
          <w:sz w:val="24"/>
          <w:szCs w:val="24"/>
        </w:rPr>
        <w:br/>
        <w:t>м.</w:t>
      </w:r>
      <w:r w:rsidRPr="00343486">
        <w:rPr>
          <w:rFonts w:ascii="Times New Roman" w:hAnsi="Times New Roman" w:cs="Times New Roman"/>
          <w:sz w:val="24"/>
          <w:szCs w:val="24"/>
        </w:rPr>
        <w:tab/>
      </w:r>
      <w:r w:rsidRPr="00343486">
        <w:rPr>
          <w:rFonts w:ascii="Times New Roman" w:hAnsi="Times New Roman" w:cs="Times New Roman"/>
          <w:sz w:val="24"/>
          <w:szCs w:val="24"/>
        </w:rPr>
        <w:tab/>
        <w:t>Місто</w:t>
      </w:r>
      <w:r w:rsidRPr="00343486">
        <w:rPr>
          <w:rFonts w:ascii="Times New Roman" w:hAnsi="Times New Roman" w:cs="Times New Roman"/>
          <w:sz w:val="24"/>
          <w:szCs w:val="24"/>
        </w:rPr>
        <w:br/>
        <w:t>вул.</w:t>
      </w:r>
      <w:r w:rsidRPr="00343486">
        <w:rPr>
          <w:rFonts w:ascii="Times New Roman" w:hAnsi="Times New Roman" w:cs="Times New Roman"/>
          <w:sz w:val="24"/>
          <w:szCs w:val="24"/>
        </w:rPr>
        <w:tab/>
      </w:r>
      <w:r w:rsidRPr="00343486">
        <w:rPr>
          <w:rFonts w:ascii="Times New Roman" w:hAnsi="Times New Roman" w:cs="Times New Roman"/>
          <w:sz w:val="24"/>
          <w:szCs w:val="24"/>
        </w:rPr>
        <w:tab/>
        <w:t>Вулиця</w:t>
      </w:r>
      <w:r w:rsidRPr="00343486">
        <w:rPr>
          <w:rFonts w:ascii="Times New Roman" w:hAnsi="Times New Roman" w:cs="Times New Roman"/>
          <w:sz w:val="24"/>
          <w:szCs w:val="24"/>
        </w:rPr>
        <w:br/>
        <w:t>просп.</w:t>
      </w:r>
      <w:r w:rsidRPr="00343486">
        <w:rPr>
          <w:rFonts w:ascii="Times New Roman" w:hAnsi="Times New Roman" w:cs="Times New Roman"/>
          <w:sz w:val="24"/>
          <w:szCs w:val="24"/>
        </w:rPr>
        <w:tab/>
      </w:r>
      <w:r w:rsidRPr="00343486">
        <w:rPr>
          <w:rFonts w:ascii="Times New Roman" w:hAnsi="Times New Roman" w:cs="Times New Roman"/>
          <w:sz w:val="24"/>
          <w:szCs w:val="24"/>
        </w:rPr>
        <w:tab/>
        <w:t>Проспект</w:t>
      </w:r>
      <w:r w:rsidRPr="00343486">
        <w:rPr>
          <w:rFonts w:ascii="Times New Roman" w:hAnsi="Times New Roman" w:cs="Times New Roman"/>
          <w:sz w:val="24"/>
          <w:szCs w:val="24"/>
        </w:rPr>
        <w:br/>
        <w:t>ТОВ</w:t>
      </w:r>
      <w:r w:rsidRPr="00343486">
        <w:rPr>
          <w:rFonts w:ascii="Times New Roman" w:hAnsi="Times New Roman" w:cs="Times New Roman"/>
          <w:sz w:val="24"/>
          <w:szCs w:val="24"/>
        </w:rPr>
        <w:tab/>
      </w:r>
      <w:r w:rsidRPr="00343486">
        <w:rPr>
          <w:rFonts w:ascii="Times New Roman" w:hAnsi="Times New Roman" w:cs="Times New Roman"/>
          <w:sz w:val="24"/>
          <w:szCs w:val="24"/>
        </w:rPr>
        <w:tab/>
        <w:t>Товариство з обмеженою відповідальністю</w:t>
      </w:r>
    </w:p>
    <w:p w:rsidR="00582D5E" w:rsidRPr="00343486" w:rsidRDefault="00582D5E">
      <w:pPr>
        <w:shd w:val="clear" w:color="auto" w:fill="FFFFFF"/>
        <w:spacing w:before="240" w:after="60" w:line="240" w:lineRule="auto"/>
        <w:ind w:right="30"/>
        <w:jc w:val="both"/>
        <w:rPr>
          <w:rFonts w:ascii="Times New Roman" w:hAnsi="Times New Roman" w:cs="Times New Roman"/>
          <w:b/>
          <w:i/>
          <w:sz w:val="24"/>
          <w:szCs w:val="24"/>
          <w:u w:val="single"/>
        </w:rPr>
      </w:pPr>
      <w:r w:rsidRPr="00343486">
        <w:rPr>
          <w:rFonts w:ascii="Times New Roman" w:hAnsi="Times New Roman" w:cs="Times New Roman"/>
          <w:b/>
          <w:i/>
          <w:sz w:val="24"/>
          <w:szCs w:val="24"/>
          <w:u w:val="single"/>
        </w:rPr>
        <w:t>Загальні положення</w:t>
      </w:r>
    </w:p>
    <w:p w:rsidR="00582D5E" w:rsidRPr="00343486" w:rsidRDefault="00582D5E">
      <w:pPr>
        <w:shd w:val="clear" w:color="auto" w:fill="FFFFFF"/>
        <w:spacing w:before="240" w:after="60"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Цей документ складено згідно вимог ст. 10 Закону України «Про стратегічну екологічну оцінку».</w:t>
      </w:r>
    </w:p>
    <w:p w:rsidR="00582D5E" w:rsidRPr="00343486" w:rsidRDefault="00582D5E">
      <w:pPr>
        <w:shd w:val="clear" w:color="auto" w:fill="FFFFFF"/>
        <w:spacing w:before="240" w:after="60" w:line="240" w:lineRule="auto"/>
        <w:ind w:right="30"/>
        <w:jc w:val="both"/>
        <w:rPr>
          <w:rFonts w:ascii="Times New Roman" w:hAnsi="Times New Roman" w:cs="Times New Roman"/>
          <w:b/>
          <w:sz w:val="24"/>
          <w:szCs w:val="24"/>
        </w:rPr>
      </w:pPr>
      <w:r w:rsidRPr="00343486">
        <w:rPr>
          <w:rFonts w:ascii="Times New Roman" w:hAnsi="Times New Roman" w:cs="Times New Roman"/>
          <w:b/>
          <w:sz w:val="24"/>
          <w:szCs w:val="24"/>
        </w:rPr>
        <w:t xml:space="preserve">1. Замовник СЕО </w:t>
      </w:r>
    </w:p>
    <w:p w:rsidR="00582D5E" w:rsidRPr="00343486" w:rsidRDefault="00582D5E" w:rsidP="009F0D2E">
      <w:pPr>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Замовником ДДП «Детальний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 - виконавчий комітет Павлоградської міської ради. Адреса: 51400, Дніпропетровська обл., м. Павлоград, вул. Соборна,95, </w:t>
      </w:r>
    </w:p>
    <w:p w:rsidR="00582D5E" w:rsidRPr="00343486" w:rsidRDefault="00582D5E" w:rsidP="009F0D2E">
      <w:pPr>
        <w:spacing w:line="240" w:lineRule="auto"/>
        <w:ind w:right="30"/>
        <w:rPr>
          <w:rFonts w:ascii="Times New Roman" w:hAnsi="Times New Roman" w:cs="Times New Roman"/>
          <w:sz w:val="24"/>
          <w:szCs w:val="24"/>
        </w:rPr>
      </w:pPr>
      <w:r w:rsidRPr="00343486">
        <w:rPr>
          <w:rFonts w:ascii="Times New Roman" w:hAnsi="Times New Roman" w:cs="Times New Roman"/>
          <w:sz w:val="24"/>
          <w:szCs w:val="24"/>
        </w:rPr>
        <w:t>тел:. (+380-563) 20-60-33,   info@p</w:t>
      </w:r>
      <w:r w:rsidRPr="00343486">
        <w:rPr>
          <w:rFonts w:ascii="Times New Roman" w:hAnsi="Times New Roman" w:cs="Times New Roman"/>
          <w:sz w:val="24"/>
          <w:szCs w:val="24"/>
          <w:lang w:val="en-US"/>
        </w:rPr>
        <w:t>avlogradmrada</w:t>
      </w:r>
      <w:r w:rsidRPr="00343486">
        <w:rPr>
          <w:rFonts w:ascii="Times New Roman" w:hAnsi="Times New Roman" w:cs="Times New Roman"/>
          <w:sz w:val="24"/>
          <w:szCs w:val="24"/>
        </w:rPr>
        <w:t>.dp.</w:t>
      </w:r>
      <w:r w:rsidRPr="00343486">
        <w:rPr>
          <w:rFonts w:ascii="Times New Roman" w:hAnsi="Times New Roman" w:cs="Times New Roman"/>
          <w:sz w:val="24"/>
          <w:szCs w:val="24"/>
          <w:lang w:val="en-US"/>
        </w:rPr>
        <w:t>gov</w:t>
      </w:r>
      <w:r w:rsidRPr="00343486">
        <w:rPr>
          <w:rFonts w:ascii="Times New Roman" w:hAnsi="Times New Roman" w:cs="Times New Roman"/>
          <w:sz w:val="24"/>
          <w:szCs w:val="24"/>
          <w:lang w:val="ru-RU"/>
        </w:rPr>
        <w:t>.</w:t>
      </w:r>
      <w:r w:rsidRPr="00343486">
        <w:rPr>
          <w:rFonts w:ascii="Times New Roman" w:hAnsi="Times New Roman" w:cs="Times New Roman"/>
          <w:sz w:val="24"/>
          <w:szCs w:val="24"/>
        </w:rPr>
        <w:t>ua</w:t>
      </w:r>
      <w:r w:rsidRPr="00343486">
        <w:rPr>
          <w:rFonts w:ascii="Times New Roman" w:hAnsi="Times New Roman" w:cs="Times New Roman"/>
          <w:sz w:val="24"/>
          <w:szCs w:val="24"/>
          <w:lang w:val="ru-RU"/>
        </w:rPr>
        <w:t>.</w:t>
      </w:r>
    </w:p>
    <w:p w:rsidR="00582D5E" w:rsidRPr="00343486" w:rsidRDefault="00582D5E">
      <w:pPr>
        <w:shd w:val="clear" w:color="auto" w:fill="FFFFFF"/>
        <w:spacing w:before="240" w:after="60" w:line="240" w:lineRule="auto"/>
        <w:ind w:right="30"/>
        <w:jc w:val="both"/>
        <w:rPr>
          <w:rFonts w:ascii="Times New Roman" w:hAnsi="Times New Roman" w:cs="Times New Roman"/>
          <w:b/>
          <w:sz w:val="24"/>
          <w:szCs w:val="24"/>
        </w:rPr>
      </w:pPr>
      <w:r w:rsidRPr="00343486">
        <w:rPr>
          <w:rFonts w:ascii="Times New Roman" w:hAnsi="Times New Roman" w:cs="Times New Roman"/>
          <w:b/>
          <w:sz w:val="24"/>
          <w:szCs w:val="24"/>
        </w:rPr>
        <w:t>2. Вид та основні цілі документа державного планування, його зв’язок з іншими документами державного планування</w:t>
      </w:r>
    </w:p>
    <w:p w:rsidR="00582D5E" w:rsidRPr="00343486" w:rsidRDefault="00582D5E">
      <w:pPr>
        <w:shd w:val="clear" w:color="auto" w:fill="FFFFFF"/>
        <w:tabs>
          <w:tab w:val="left" w:pos="1134"/>
        </w:tabs>
        <w:spacing w:after="160" w:line="240" w:lineRule="auto"/>
        <w:ind w:firstLine="460"/>
        <w:jc w:val="both"/>
        <w:rPr>
          <w:rFonts w:ascii="Times New Roman" w:hAnsi="Times New Roman" w:cs="Times New Roman"/>
          <w:sz w:val="24"/>
          <w:szCs w:val="24"/>
        </w:rPr>
      </w:pPr>
      <w:r w:rsidRPr="00343486">
        <w:rPr>
          <w:rFonts w:ascii="Times New Roman" w:hAnsi="Times New Roman" w:cs="Times New Roman"/>
          <w:sz w:val="24"/>
          <w:szCs w:val="24"/>
        </w:rPr>
        <w:t xml:space="preserve">ДПТ - </w:t>
      </w:r>
      <w:r w:rsidRPr="00343486">
        <w:rPr>
          <w:rFonts w:ascii="Times New Roman" w:hAnsi="Times New Roman" w:cs="Times New Roman"/>
          <w:sz w:val="24"/>
          <w:szCs w:val="24"/>
          <w:highlight w:val="white"/>
        </w:rPr>
        <w:t>містобудівна документація, що визначає планувальну організацію та розвиток території</w:t>
      </w:r>
      <w:r w:rsidRPr="00343486">
        <w:rPr>
          <w:rFonts w:ascii="Times New Roman" w:hAnsi="Times New Roman" w:cs="Times New Roman"/>
          <w:sz w:val="24"/>
          <w:szCs w:val="24"/>
        </w:rPr>
        <w:t xml:space="preserve"> у межах населеного пункту, уточнює положення генерального плану населеного пункту та визначає планувальну організацію і розвиток частини території.</w:t>
      </w:r>
    </w:p>
    <w:p w:rsidR="00582D5E" w:rsidRPr="00343486" w:rsidRDefault="00582D5E">
      <w:pPr>
        <w:shd w:val="clear" w:color="auto" w:fill="FFFFFF"/>
        <w:tabs>
          <w:tab w:val="left" w:pos="450"/>
        </w:tabs>
        <w:spacing w:after="160" w:line="240" w:lineRule="auto"/>
        <w:ind w:firstLine="460"/>
        <w:jc w:val="both"/>
        <w:rPr>
          <w:rFonts w:ascii="Times New Roman" w:hAnsi="Times New Roman" w:cs="Times New Roman"/>
          <w:sz w:val="24"/>
          <w:szCs w:val="24"/>
        </w:rPr>
      </w:pPr>
      <w:r w:rsidRPr="00343486">
        <w:rPr>
          <w:rFonts w:ascii="Times New Roman" w:hAnsi="Times New Roman" w:cs="Times New Roman"/>
          <w:sz w:val="24"/>
          <w:szCs w:val="24"/>
        </w:rPr>
        <w:t>ДПТ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582D5E" w:rsidRPr="00343486" w:rsidRDefault="00582D5E">
      <w:pPr>
        <w:shd w:val="clear" w:color="auto" w:fill="FFFFFF"/>
        <w:tabs>
          <w:tab w:val="left" w:pos="450"/>
        </w:tabs>
        <w:spacing w:after="160" w:line="240" w:lineRule="auto"/>
        <w:ind w:firstLine="460"/>
        <w:jc w:val="both"/>
        <w:rPr>
          <w:rFonts w:ascii="Times New Roman" w:hAnsi="Times New Roman" w:cs="Times New Roman"/>
          <w:sz w:val="24"/>
          <w:szCs w:val="24"/>
          <w:highlight w:val="white"/>
        </w:rPr>
      </w:pPr>
      <w:r w:rsidRPr="00343486">
        <w:rPr>
          <w:rFonts w:ascii="Times New Roman" w:hAnsi="Times New Roman" w:cs="Times New Roman"/>
          <w:sz w:val="24"/>
          <w:szCs w:val="24"/>
        </w:rPr>
        <w:t>Метою ДДП «Детальний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  є</w:t>
      </w:r>
      <w:r w:rsidRPr="00343486">
        <w:rPr>
          <w:rFonts w:ascii="Times New Roman" w:hAnsi="Times New Roman" w:cs="Times New Roman"/>
          <w:sz w:val="24"/>
          <w:szCs w:val="24"/>
          <w:highlight w:val="white"/>
        </w:rPr>
        <w:t>:</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 xml:space="preserve">уточнення у більш крупному масштабі положень Генерального плану м. Павлоград за умови більш доцільного та раціонального використання вільної від забудови ділянки; </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 xml:space="preserve">уточнення планувальної структури і функціонального призначення території, просторової композиції, параметрів забудови та ландшафтної організації; визначення функціонального призначення та параметрів забудови; </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 xml:space="preserve">формування принципів планувальної організації забудови; </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 xml:space="preserve">встановлення червоних ліній та ліній регулювання забудови; </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виявлення та уточнення територіальних ресурсів для всіх видів функціонального використання території;</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 xml:space="preserve">визначення всіх планувальних обмежень використання території згідно з державними будівельними нормами та санітарно-гігієнічними нормами; </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 xml:space="preserve">визначення параметрів забудови окремих земельних ділянок; </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уточнення містобудівних умов та обмежень;</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 xml:space="preserve">визначення потреб у підприємствах та установах обслуговування, місць їх розташування; </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 xml:space="preserve">забезпечення комплексності забудови території; </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 xml:space="preserve">визначення доцільності, обсягів, послідовності реконструкції забудови; </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створення належних умов охорони і використання об'єктів культурної спадщини та об'єктів природно-заповідного фонду, інших об'єктів, що підлягають охороні відповідно до законодавства;</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визначення напрямів, черговості та обсягів подальшої діяльності щодо: попереднього проведення інженерної підготовки та інженерного забезпечення території; створення транспортної інфраструктури; організації транспортного і пішохідного руху, розміщення місць паркування транспортних засобів; охорони та поліпшення стану навколишнього середовища, забезпечення екологічної безпеки; комплексного благоустрою та озеленення;</w:t>
      </w:r>
    </w:p>
    <w:p w:rsidR="00582D5E" w:rsidRPr="00343486" w:rsidRDefault="00582D5E">
      <w:pPr>
        <w:numPr>
          <w:ilvl w:val="0"/>
          <w:numId w:val="1"/>
        </w:numPr>
        <w:spacing w:line="240" w:lineRule="auto"/>
        <w:ind w:left="258"/>
        <w:jc w:val="both"/>
        <w:rPr>
          <w:rFonts w:ascii="Times New Roman" w:hAnsi="Times New Roman" w:cs="Times New Roman"/>
          <w:sz w:val="24"/>
          <w:szCs w:val="24"/>
        </w:rPr>
      </w:pPr>
      <w:r w:rsidRPr="00343486">
        <w:rPr>
          <w:rFonts w:ascii="Times New Roman" w:hAnsi="Times New Roman" w:cs="Times New Roman"/>
          <w:sz w:val="24"/>
          <w:szCs w:val="24"/>
        </w:rPr>
        <w:t>використання підземного простору тощо.</w:t>
      </w:r>
    </w:p>
    <w:p w:rsidR="00582D5E" w:rsidRPr="00343486" w:rsidRDefault="00582D5E">
      <w:pPr>
        <w:shd w:val="clear" w:color="auto" w:fill="FFFFFF"/>
        <w:tabs>
          <w:tab w:val="left" w:pos="450"/>
        </w:tabs>
        <w:spacing w:after="160" w:line="240" w:lineRule="auto"/>
        <w:ind w:firstLine="460"/>
        <w:jc w:val="both"/>
        <w:rPr>
          <w:rFonts w:ascii="Times New Roman" w:hAnsi="Times New Roman" w:cs="Times New Roman"/>
          <w:color w:val="FF0000"/>
          <w:sz w:val="24"/>
          <w:szCs w:val="24"/>
          <w:highlight w:val="white"/>
        </w:rPr>
      </w:pPr>
    </w:p>
    <w:p w:rsidR="00582D5E" w:rsidRPr="00343486" w:rsidRDefault="00582D5E">
      <w:pPr>
        <w:shd w:val="clear" w:color="auto" w:fill="FFFFFF"/>
        <w:tabs>
          <w:tab w:val="left" w:pos="450"/>
        </w:tabs>
        <w:spacing w:after="160" w:line="240" w:lineRule="auto"/>
        <w:ind w:firstLine="46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Розробка </w:t>
      </w:r>
      <w:r w:rsidRPr="00343486">
        <w:rPr>
          <w:rFonts w:ascii="Times New Roman" w:hAnsi="Times New Roman" w:cs="Times New Roman"/>
          <w:sz w:val="24"/>
          <w:szCs w:val="24"/>
        </w:rPr>
        <w:t xml:space="preserve">ДДП «Детальний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 ґрунтується на Генеральному плані м. Павлоград, раніше </w:t>
      </w:r>
      <w:r w:rsidRPr="00343486">
        <w:rPr>
          <w:rFonts w:ascii="Times New Roman" w:hAnsi="Times New Roman" w:cs="Times New Roman"/>
          <w:sz w:val="24"/>
          <w:szCs w:val="24"/>
          <w:highlight w:val="white"/>
        </w:rPr>
        <w:t>затвердженого.</w:t>
      </w:r>
    </w:p>
    <w:p w:rsidR="00582D5E" w:rsidRPr="00343486" w:rsidRDefault="00582D5E">
      <w:pPr>
        <w:shd w:val="clear" w:color="auto" w:fill="FFFFFF"/>
        <w:tabs>
          <w:tab w:val="left" w:pos="450"/>
        </w:tabs>
        <w:spacing w:after="160" w:line="240" w:lineRule="auto"/>
        <w:ind w:firstLine="460"/>
        <w:jc w:val="both"/>
        <w:rPr>
          <w:rFonts w:ascii="Times New Roman" w:hAnsi="Times New Roman" w:cs="Times New Roman"/>
          <w:sz w:val="24"/>
          <w:szCs w:val="24"/>
          <w:highlight w:val="white"/>
        </w:rPr>
      </w:pPr>
      <w:r w:rsidRPr="00343486">
        <w:rPr>
          <w:rFonts w:ascii="Times New Roman" w:hAnsi="Times New Roman" w:cs="Times New Roman"/>
          <w:color w:val="FF0000"/>
          <w:sz w:val="24"/>
          <w:szCs w:val="24"/>
          <w:highlight w:val="white"/>
        </w:rPr>
        <w:br/>
      </w:r>
      <w:r w:rsidRPr="00343486">
        <w:rPr>
          <w:rFonts w:ascii="Times New Roman" w:hAnsi="Times New Roman" w:cs="Times New Roman"/>
          <w:sz w:val="24"/>
          <w:szCs w:val="24"/>
          <w:highlight w:val="white"/>
        </w:rPr>
        <w:tab/>
        <w:t xml:space="preserve">Необхідність виконання стратегічної екологічної оцінки визначена п.1 ст. 19 Закону України </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Про регулювання містобудівної діяльності</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 xml:space="preserve">, Законом України </w:t>
      </w:r>
      <w:r w:rsidRPr="00343486">
        <w:rPr>
          <w:rFonts w:ascii="Times New Roman" w:hAnsi="Times New Roman" w:cs="Times New Roman"/>
          <w:sz w:val="24"/>
          <w:szCs w:val="24"/>
        </w:rPr>
        <w:t>«Про стратегічну екологічну оцінку». 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r w:rsidRPr="00343486">
        <w:rPr>
          <w:rFonts w:ascii="Times New Roman" w:hAnsi="Times New Roman" w:cs="Times New Roman"/>
          <w:sz w:val="24"/>
          <w:szCs w:val="24"/>
          <w:highlight w:val="white"/>
        </w:rPr>
        <w:t xml:space="preserve"> Стратегічна екологічна оцінка має на меті визначити відповідність містобудівної документації вимогам до сталого розвитку, зазначеним в ст. 19 Закону України </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Про основи містобудування</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 xml:space="preserve">. Згідно ст. 28 Закону України </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Про основи містобудування</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 якщо міжнародним договором України, згода на обов’язковість якого надана Верховною Радою України, встановлено інші правила, ніж ті, що містяться в законодавстві України про містобудування, то застосовуються правила міжнародного договору.</w:t>
      </w:r>
    </w:p>
    <w:p w:rsidR="00582D5E" w:rsidRPr="00343486" w:rsidRDefault="00582D5E">
      <w:pPr>
        <w:shd w:val="clear" w:color="auto" w:fill="FFFFFF"/>
        <w:tabs>
          <w:tab w:val="left" w:pos="450"/>
        </w:tabs>
        <w:spacing w:line="240" w:lineRule="auto"/>
        <w:ind w:firstLine="460"/>
        <w:jc w:val="both"/>
        <w:rPr>
          <w:rFonts w:ascii="Times New Roman" w:hAnsi="Times New Roman" w:cs="Times New Roman"/>
          <w:sz w:val="24"/>
          <w:szCs w:val="24"/>
        </w:rPr>
      </w:pPr>
      <w:r w:rsidRPr="00343486">
        <w:rPr>
          <w:rFonts w:ascii="Times New Roman" w:hAnsi="Times New Roman" w:cs="Times New Roman"/>
          <w:sz w:val="24"/>
          <w:szCs w:val="24"/>
        </w:rPr>
        <w:t>Даний документ у відповідності із Законом України «Про стратегічну екологічну оцінку» призначений визначити обсяг стратегічної екологічної оцінки ДДП «Детальний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w:t>
      </w:r>
    </w:p>
    <w:p w:rsidR="00582D5E" w:rsidRPr="00343486" w:rsidRDefault="00582D5E" w:rsidP="00E416EE">
      <w:pPr>
        <w:tabs>
          <w:tab w:val="left" w:pos="8652"/>
        </w:tabs>
        <w:spacing w:after="60" w:line="240" w:lineRule="auto"/>
        <w:ind w:right="-60" w:firstLine="57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Детальний план виконано  відповідно до вимог чинного законодавства і нормативних документів: Конституція України; Земельний кодекс України; Закон України «Про природно-заповідний фонд України»; Закон України «Про охорону культурної спадщини», Закон України  «Про основи містобудування»; Закон України  «Про регулювання містобудівної діяльності»; Закон України  "Про охорону навколишнього природного середовища"; Закон України  "Про стратегічну екологічну оцінку"; Закон України «Про автомобільні дороги», Закон України «Про охорону культурної спадщини», Закону України «Про відходи»; Закону України «Про охорону атмосферного повітря»; Закону України «Про охорону навколишнього природного середовища»; Закону України «Про оцінку впливу на довкілля»; Закону України «Про екологічну мережу України»; Закону України «Про охорону земель»; Закон України «Про рослинний світ»; Закону України «Про тваринний світ»; Закону України «Про генеральну схему планування території України», Постанова Кабінету Міністрів України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від 25.05.2011р. №555.,  ДБН Б.1.1-15:2012   "Склад та зміст генерального плану населеного пункту"; ДБН Б.2.2-12:2019   "Планування і забудова територій"; ДБН В.2.3-5:2018   "Вулиці і дороги населених пунктів";  ДБН Б.2.2-5:2011 «Благоустрій територій»; ДБН В.2.2-15-2019 Житлові будинки. Основні положення; ДБН В.1.1-45:2017 Будівлі і споруди в складних інженерно-геологічних умовах; ДБН В.2.1-10:2018 Основи і фундаменти будівель та споруд; ДБН Б 2.2-5:2011 Планування і забудова міст, селищ і функціональних територій;                       ДБН В.1.1-25-2009 Інженерний захист територій та споруд від підтоплення та затоплення; ДБН В.2.5-75:2013. Каналізація зовнішні мережі та споруди основні положення проектування; ДБН В.1.1-31:2013 Захист територій, будинків і споруд від шуму; ДБН В.2.2-40:2018 Інклюзивність будівель і споруд для маломобільних груп населення; ДБН В.1.1-7:2016 Пожежна безпека об’єктів будівництва. Основні вимоги; ДБН В.2.2-23:2009 Підприємства торгівлі. Будинки і споруди; ДСП №173-96 Державні санітарні правила планування та забудови населених пунктів; ДСТУ-Н Б В.1.1-40:2016 Настанова щодо проектування будівель і споруд на слабких ґрунтах; ДСН 239-96 Державні санітарні норми і правила захисту населення від впливу електромагнітних випромінювань; ДСТУ-Н Б Б.1.1-10:2010 «Настанова з виконання розділів «Охорона навколишнього  природного середовища» у складі містобудівної документації». Державні санітарні правила та норми 2.2.2.028-99 «Гігієнічні вимоги щодо облаштування і утримання кладовищ в населених пунктах України», іншої документації, яка була використана при розробленні генерального плану населеного пункту.</w:t>
      </w:r>
    </w:p>
    <w:p w:rsidR="00582D5E" w:rsidRPr="00343486" w:rsidRDefault="00582D5E">
      <w:pPr>
        <w:tabs>
          <w:tab w:val="left" w:pos="8652"/>
        </w:tabs>
        <w:spacing w:after="60" w:line="240" w:lineRule="auto"/>
        <w:ind w:right="-60" w:firstLine="570"/>
        <w:jc w:val="both"/>
        <w:rPr>
          <w:rFonts w:ascii="Times New Roman" w:hAnsi="Times New Roman" w:cs="Times New Roman"/>
          <w:color w:val="FF0000"/>
          <w:sz w:val="24"/>
          <w:szCs w:val="24"/>
        </w:rPr>
      </w:pPr>
    </w:p>
    <w:p w:rsidR="00582D5E" w:rsidRPr="00343486" w:rsidRDefault="00582D5E">
      <w:pPr>
        <w:tabs>
          <w:tab w:val="left" w:pos="8652"/>
        </w:tabs>
        <w:spacing w:after="60" w:line="240" w:lineRule="auto"/>
        <w:ind w:right="-60" w:firstLine="57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Основними правовими документами, які мають бути враховані під час процедури стратегічної екологічної оцінки є: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Закон України «Про природно-заповідний фонд</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Закон України «Про охорону культурної спадщини</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 xml:space="preserve">;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Закон України «Про охорону археологічної спадщини»;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Закон України «Про Основні засади (стратегію) державної екологічної політики України на період до 2030 року»;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Стратегія сталого розвитку «Україна-2020», затверджена Указом Президента України від 12 січня 2015 року №5/2015;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Програма діяльності Кабінету Міністрів України, затверджена Постановою Верховної Ради України від 14 квітня 2016 року №1099-VIII;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Національний план дій управління відходами до 2030 року, затверджений Кабінетом міністрів України 20 лютого 2019 року;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План заходів на 2015-2017 роки з реалізації Державної стратегії регіонального розвитку на період до 2020 року, затверджений постановою Кабінету Міністрів України від 7 жовтня 2015 р. №821;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xml:space="preserve">Конвенція ООН з біологічного різноманіття;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xml:space="preserve">Рамкова конвенція про зміну клімату;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xml:space="preserve">Паризька кліматична угода;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Закон України </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Про Генеральну схему планування території України</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 xml:space="preserve">; </w:t>
      </w:r>
    </w:p>
    <w:p w:rsidR="00582D5E" w:rsidRPr="00343486" w:rsidRDefault="00582D5E">
      <w:pPr>
        <w:widowControl w:val="0"/>
        <w:numPr>
          <w:ilvl w:val="0"/>
          <w:numId w:val="2"/>
        </w:numPr>
        <w:tabs>
          <w:tab w:val="left" w:pos="1796"/>
          <w:tab w:val="right" w:pos="9720"/>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Постанова Кабінету Міністрів України Про забезпечення реалізації Закону України </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Про Генеральну схему планування території України</w:t>
      </w:r>
      <w:r w:rsidRPr="00343486">
        <w:rPr>
          <w:rFonts w:ascii="Times New Roman" w:hAnsi="Times New Roman" w:cs="Times New Roman"/>
          <w:sz w:val="24"/>
          <w:szCs w:val="24"/>
        </w:rPr>
        <w:t>»</w:t>
      </w:r>
      <w:r w:rsidRPr="00343486">
        <w:rPr>
          <w:rFonts w:ascii="Times New Roman" w:hAnsi="Times New Roman" w:cs="Times New Roman"/>
          <w:sz w:val="24"/>
          <w:szCs w:val="24"/>
          <w:highlight w:val="white"/>
        </w:rPr>
        <w:t xml:space="preserve">;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ДБН Б.1.1-13:2012 Склад та зміст містобудівної документації на державному та регіональному рівнях;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ДСТУ-Н Б Б.1.1-10:2010 «Настанова з виконання розділів «Охорона навколишнього природного середовища» у складі містобудівної документації»;</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Державні санітарні правила планування та забудови населених пунктів зі змінами;</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 xml:space="preserve">ДСанПіН 2.2.4-171-10 «Гігієнічні вимоги до води питної, призначеної для споживання людиною», </w:t>
      </w:r>
    </w:p>
    <w:p w:rsidR="00582D5E" w:rsidRPr="00343486" w:rsidRDefault="00582D5E">
      <w:pPr>
        <w:widowControl w:val="0"/>
        <w:numPr>
          <w:ilvl w:val="0"/>
          <w:numId w:val="2"/>
        </w:numPr>
        <w:tabs>
          <w:tab w:val="left" w:pos="1796"/>
          <w:tab w:val="right" w:pos="9629"/>
        </w:tabs>
        <w:spacing w:line="240" w:lineRule="auto"/>
        <w:ind w:right="30"/>
        <w:jc w:val="both"/>
        <w:rPr>
          <w:rFonts w:ascii="Times New Roman" w:hAnsi="Times New Roman" w:cs="Times New Roman"/>
          <w:sz w:val="24"/>
          <w:szCs w:val="24"/>
          <w:highlight w:val="white"/>
        </w:rPr>
      </w:pPr>
      <w:r w:rsidRPr="00343486">
        <w:rPr>
          <w:rFonts w:ascii="Times New Roman" w:hAnsi="Times New Roman" w:cs="Times New Roman"/>
          <w:sz w:val="24"/>
          <w:szCs w:val="24"/>
          <w:highlight w:val="white"/>
        </w:rPr>
        <w:t>Конвенція про охорону дикої флори та фауни і природних середовищ існування в Європі (Закон України N 436/96-ВР (</w:t>
      </w:r>
      <w:hyperlink r:id="rId7">
        <w:r w:rsidRPr="00343486">
          <w:rPr>
            <w:rFonts w:ascii="Times New Roman" w:hAnsi="Times New Roman" w:cs="Times New Roman"/>
            <w:sz w:val="24"/>
            <w:szCs w:val="24"/>
            <w:highlight w:val="white"/>
            <w:u w:val="single"/>
          </w:rPr>
          <w:t>436/96-ВР</w:t>
        </w:r>
      </w:hyperlink>
      <w:r w:rsidRPr="00343486">
        <w:rPr>
          <w:rFonts w:ascii="Times New Roman" w:hAnsi="Times New Roman" w:cs="Times New Roman"/>
          <w:sz w:val="24"/>
          <w:szCs w:val="24"/>
          <w:highlight w:val="white"/>
        </w:rPr>
        <w:t xml:space="preserve"> ) від 29.10.96.</w:t>
      </w:r>
    </w:p>
    <w:p w:rsidR="00582D5E" w:rsidRPr="00343486" w:rsidRDefault="00582D5E">
      <w:pPr>
        <w:shd w:val="clear" w:color="auto" w:fill="FFFFFF"/>
        <w:spacing w:before="240" w:after="140" w:line="240" w:lineRule="auto"/>
        <w:ind w:right="30"/>
        <w:jc w:val="both"/>
        <w:rPr>
          <w:rFonts w:ascii="Times New Roman" w:hAnsi="Times New Roman" w:cs="Times New Roman"/>
          <w:b/>
          <w:sz w:val="24"/>
          <w:szCs w:val="24"/>
        </w:rPr>
      </w:pPr>
      <w:r w:rsidRPr="00343486">
        <w:rPr>
          <w:rFonts w:ascii="Times New Roman" w:hAnsi="Times New Roman" w:cs="Times New Roman"/>
          <w:b/>
          <w:sz w:val="24"/>
          <w:szCs w:val="24"/>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582D5E" w:rsidRPr="00343486" w:rsidRDefault="00582D5E">
      <w:pPr>
        <w:shd w:val="clear" w:color="auto" w:fill="FFFFFF"/>
        <w:spacing w:before="240" w:after="140" w:line="240" w:lineRule="auto"/>
        <w:ind w:right="30"/>
        <w:jc w:val="both"/>
        <w:rPr>
          <w:rFonts w:ascii="Times New Roman" w:hAnsi="Times New Roman" w:cs="Times New Roman"/>
          <w:sz w:val="24"/>
          <w:szCs w:val="24"/>
        </w:rPr>
      </w:pPr>
      <w:r w:rsidRPr="00343486">
        <w:rPr>
          <w:rFonts w:ascii="Times New Roman" w:hAnsi="Times New Roman" w:cs="Times New Roman"/>
          <w:b/>
          <w:color w:val="FF0000"/>
          <w:sz w:val="24"/>
          <w:szCs w:val="24"/>
        </w:rPr>
        <w:tab/>
      </w:r>
      <w:r w:rsidRPr="00343486">
        <w:rPr>
          <w:rFonts w:ascii="Times New Roman"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582D5E" w:rsidRPr="00343486" w:rsidRDefault="00582D5E" w:rsidP="000812B2">
      <w:pPr>
        <w:shd w:val="clear" w:color="auto" w:fill="FFFFFF"/>
        <w:spacing w:before="240" w:after="140" w:line="240" w:lineRule="auto"/>
        <w:ind w:right="30" w:firstLine="709"/>
        <w:jc w:val="both"/>
        <w:rPr>
          <w:rFonts w:ascii="Times New Roman" w:hAnsi="Times New Roman" w:cs="Times New Roman"/>
          <w:sz w:val="24"/>
          <w:szCs w:val="24"/>
        </w:rPr>
      </w:pPr>
      <w:r w:rsidRPr="00343486">
        <w:rPr>
          <w:rFonts w:ascii="Times New Roman" w:hAnsi="Times New Roman" w:cs="Times New Roman"/>
          <w:sz w:val="24"/>
          <w:szCs w:val="24"/>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582D5E" w:rsidRPr="00343486" w:rsidRDefault="00582D5E">
      <w:pPr>
        <w:shd w:val="clear" w:color="auto" w:fill="FFFFFF"/>
        <w:spacing w:before="240" w:after="60" w:line="240" w:lineRule="auto"/>
        <w:ind w:right="30"/>
        <w:jc w:val="both"/>
        <w:rPr>
          <w:rFonts w:ascii="Times New Roman" w:hAnsi="Times New Roman" w:cs="Times New Roman"/>
          <w:b/>
          <w:sz w:val="24"/>
          <w:szCs w:val="24"/>
        </w:rPr>
      </w:pPr>
      <w:r w:rsidRPr="00343486">
        <w:rPr>
          <w:rFonts w:ascii="Times New Roman" w:hAnsi="Times New Roman" w:cs="Times New Roman"/>
          <w:b/>
          <w:sz w:val="24"/>
          <w:szCs w:val="24"/>
        </w:rPr>
        <w:t>4. Ймовірні наслідки.</w:t>
      </w:r>
    </w:p>
    <w:p w:rsidR="00582D5E" w:rsidRPr="00343486" w:rsidRDefault="00582D5E">
      <w:pPr>
        <w:shd w:val="clear" w:color="auto" w:fill="FFFFFF"/>
        <w:spacing w:before="240" w:after="60"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В процесі розробки ДПТ буде запропоновано проектні рішення щодо можливості використання вільної від забудови території для розміщення оздоровчо-розважального комплексу, експлуатація якого може завдавати шкоди довкіллю та здоров’ю населення за умови не дотримання проектних заходів, які передбачається розглянути для запобігання, зменшення та пом’якшення негативних наслідків. </w:t>
      </w:r>
    </w:p>
    <w:p w:rsidR="00582D5E" w:rsidRPr="00343486" w:rsidRDefault="00582D5E">
      <w:pPr>
        <w:shd w:val="clear" w:color="auto" w:fill="FFFFFF"/>
        <w:spacing w:before="240" w:after="60"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При впровадженні проектних рішень будуть враховані наслідки забруднення: атмосферного повітря в районі проектування  ДДП суб’єктами господарювання, які здійснюють викиди забруднюючих речовин від стаціонарних джерел, забруднення атмосферного повітря автомобільним транспортом; забруднення поверхневих та підземних вод; забруднення ґрунтів; вплив антропогенних чинників на біологічне та ландшафтне різноманіття, здоров’я людини та розглянуті питання поводження з відходами, санітарного очищення території, збір та очищення дощових стоків. </w:t>
      </w:r>
    </w:p>
    <w:p w:rsidR="00582D5E" w:rsidRPr="00343486" w:rsidRDefault="00582D5E">
      <w:pPr>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Основні екологічні проблеми території та природоохоронні цілі визначають рамки обсягу стратегічної екологічної оцінки:</w:t>
      </w:r>
    </w:p>
    <w:p w:rsidR="00582D5E" w:rsidRPr="00343486" w:rsidRDefault="00582D5E">
      <w:pPr>
        <w:shd w:val="clear" w:color="auto" w:fill="FFFFFF"/>
        <w:spacing w:before="240" w:after="60" w:line="240" w:lineRule="auto"/>
        <w:ind w:right="40" w:firstLine="720"/>
        <w:jc w:val="both"/>
        <w:rPr>
          <w:rFonts w:ascii="Times New Roman" w:hAnsi="Times New Roman" w:cs="Times New Roman"/>
          <w:b/>
          <w:i/>
          <w:sz w:val="24"/>
          <w:szCs w:val="24"/>
        </w:rPr>
      </w:pPr>
      <w:r w:rsidRPr="00343486">
        <w:rPr>
          <w:rFonts w:ascii="Times New Roman" w:hAnsi="Times New Roman" w:cs="Times New Roman"/>
          <w:b/>
          <w:i/>
          <w:sz w:val="24"/>
          <w:szCs w:val="24"/>
        </w:rPr>
        <w:t>а) для довкілля, у тому числі для здоров’я населення.</w:t>
      </w:r>
    </w:p>
    <w:p w:rsidR="00582D5E" w:rsidRPr="00343486" w:rsidRDefault="00582D5E">
      <w:pPr>
        <w:spacing w:line="240" w:lineRule="auto"/>
        <w:ind w:right="30"/>
        <w:jc w:val="both"/>
        <w:rPr>
          <w:rFonts w:ascii="Times New Roman" w:hAnsi="Times New Roman" w:cs="Times New Roman"/>
          <w:sz w:val="24"/>
          <w:szCs w:val="24"/>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190"/>
        <w:gridCol w:w="7530"/>
      </w:tblGrid>
      <w:tr w:rsidR="00582D5E" w:rsidRPr="00343486" w:rsidTr="00216C16">
        <w:tc>
          <w:tcPr>
            <w:tcW w:w="2190" w:type="dxa"/>
            <w:tcMar>
              <w:top w:w="100" w:type="dxa"/>
              <w:left w:w="100" w:type="dxa"/>
              <w:bottom w:w="100" w:type="dxa"/>
              <w:right w:w="100" w:type="dxa"/>
            </w:tcMar>
          </w:tcPr>
          <w:p w:rsidR="00582D5E" w:rsidRPr="00343486" w:rsidRDefault="00582D5E" w:rsidP="00216C16">
            <w:pPr>
              <w:widowControl w:val="0"/>
              <w:spacing w:line="240" w:lineRule="auto"/>
              <w:jc w:val="center"/>
              <w:rPr>
                <w:rFonts w:ascii="Times New Roman" w:hAnsi="Times New Roman" w:cs="Times New Roman"/>
                <w:sz w:val="24"/>
                <w:szCs w:val="24"/>
              </w:rPr>
            </w:pPr>
            <w:r w:rsidRPr="00343486">
              <w:rPr>
                <w:rFonts w:ascii="Times New Roman" w:hAnsi="Times New Roman" w:cs="Times New Roman"/>
                <w:b/>
                <w:sz w:val="24"/>
                <w:szCs w:val="24"/>
              </w:rPr>
              <w:t>Компонент довкілля</w:t>
            </w:r>
          </w:p>
        </w:tc>
        <w:tc>
          <w:tcPr>
            <w:tcW w:w="7530" w:type="dxa"/>
            <w:tcMar>
              <w:top w:w="100" w:type="dxa"/>
              <w:left w:w="100" w:type="dxa"/>
              <w:bottom w:w="100" w:type="dxa"/>
              <w:right w:w="100" w:type="dxa"/>
            </w:tcMar>
          </w:tcPr>
          <w:p w:rsidR="00582D5E" w:rsidRPr="00343486" w:rsidRDefault="00582D5E" w:rsidP="00216C16">
            <w:pPr>
              <w:widowControl w:val="0"/>
              <w:spacing w:line="240" w:lineRule="auto"/>
              <w:jc w:val="center"/>
              <w:rPr>
                <w:rFonts w:ascii="Times New Roman" w:hAnsi="Times New Roman" w:cs="Times New Roman"/>
                <w:sz w:val="24"/>
                <w:szCs w:val="24"/>
              </w:rPr>
            </w:pPr>
            <w:r w:rsidRPr="00343486">
              <w:rPr>
                <w:rFonts w:ascii="Times New Roman" w:hAnsi="Times New Roman" w:cs="Times New Roman"/>
                <w:b/>
                <w:sz w:val="24"/>
                <w:szCs w:val="24"/>
              </w:rPr>
              <w:t>Ймовірні наслідки</w:t>
            </w:r>
          </w:p>
        </w:tc>
      </w:tr>
      <w:tr w:rsidR="00582D5E" w:rsidRPr="00343486" w:rsidTr="00216C16">
        <w:tc>
          <w:tcPr>
            <w:tcW w:w="2190" w:type="dxa"/>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b/>
                <w:sz w:val="24"/>
                <w:szCs w:val="24"/>
              </w:rPr>
            </w:pPr>
            <w:r w:rsidRPr="00343486">
              <w:rPr>
                <w:rFonts w:ascii="Times New Roman" w:hAnsi="Times New Roman" w:cs="Times New Roman"/>
                <w:b/>
                <w:sz w:val="24"/>
                <w:szCs w:val="24"/>
              </w:rPr>
              <w:t>Клімат і мікроклімат</w:t>
            </w:r>
          </w:p>
        </w:tc>
        <w:tc>
          <w:tcPr>
            <w:tcW w:w="7530" w:type="dxa"/>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sz w:val="24"/>
                <w:szCs w:val="24"/>
              </w:rPr>
            </w:pPr>
            <w:r w:rsidRPr="00343486">
              <w:rPr>
                <w:rFonts w:ascii="Times New Roman" w:hAnsi="Times New Roman" w:cs="Times New Roman"/>
                <w:sz w:val="24"/>
                <w:szCs w:val="24"/>
              </w:rPr>
              <w:t>Передбачаються впливи, що призведуть до локальних  змін клімату на території розробки ДДП.</w:t>
            </w:r>
          </w:p>
        </w:tc>
      </w:tr>
      <w:tr w:rsidR="00582D5E" w:rsidRPr="00343486" w:rsidTr="00216C16">
        <w:tc>
          <w:tcPr>
            <w:tcW w:w="219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b/>
                <w:sz w:val="24"/>
                <w:szCs w:val="24"/>
              </w:rPr>
            </w:pPr>
            <w:r w:rsidRPr="00343486">
              <w:rPr>
                <w:rFonts w:ascii="Times New Roman" w:hAnsi="Times New Roman" w:cs="Times New Roman"/>
                <w:b/>
                <w:sz w:val="24"/>
                <w:szCs w:val="24"/>
              </w:rPr>
              <w:t>Атмосферне повітря</w:t>
            </w:r>
          </w:p>
        </w:tc>
        <w:tc>
          <w:tcPr>
            <w:tcW w:w="753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sz w:val="24"/>
                <w:szCs w:val="24"/>
              </w:rPr>
            </w:pPr>
            <w:r w:rsidRPr="00343486">
              <w:rPr>
                <w:rFonts w:ascii="Times New Roman" w:hAnsi="Times New Roman" w:cs="Times New Roman"/>
                <w:sz w:val="24"/>
                <w:szCs w:val="24"/>
              </w:rPr>
              <w:t>Забруднення повітря викидами автомобільного транспорту під час реалізації проектних рішень,  шумове забруднення під час будівельних робіт.</w:t>
            </w:r>
          </w:p>
        </w:tc>
      </w:tr>
      <w:tr w:rsidR="00582D5E" w:rsidRPr="00343486" w:rsidTr="00216C16">
        <w:tc>
          <w:tcPr>
            <w:tcW w:w="219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b/>
                <w:sz w:val="24"/>
                <w:szCs w:val="24"/>
              </w:rPr>
            </w:pPr>
            <w:r w:rsidRPr="00343486">
              <w:rPr>
                <w:rFonts w:ascii="Times New Roman" w:hAnsi="Times New Roman" w:cs="Times New Roman"/>
                <w:b/>
                <w:sz w:val="24"/>
                <w:szCs w:val="24"/>
              </w:rPr>
              <w:t>Водне середовище</w:t>
            </w:r>
          </w:p>
        </w:tc>
        <w:tc>
          <w:tcPr>
            <w:tcW w:w="753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sz w:val="24"/>
                <w:szCs w:val="24"/>
              </w:rPr>
            </w:pPr>
            <w:r w:rsidRPr="00343486">
              <w:rPr>
                <w:rFonts w:ascii="Times New Roman" w:hAnsi="Times New Roman" w:cs="Times New Roman"/>
                <w:sz w:val="24"/>
                <w:szCs w:val="24"/>
              </w:rPr>
              <w:t xml:space="preserve">Ймовірна інфільтрація забруднення будівельними відходами та паливно-мастильними матеріалами в ґрунтові води. </w:t>
            </w:r>
          </w:p>
        </w:tc>
      </w:tr>
      <w:tr w:rsidR="00582D5E" w:rsidRPr="00343486" w:rsidTr="00216C16">
        <w:trPr>
          <w:trHeight w:val="699"/>
        </w:trPr>
        <w:tc>
          <w:tcPr>
            <w:tcW w:w="219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b/>
                <w:sz w:val="24"/>
                <w:szCs w:val="24"/>
              </w:rPr>
            </w:pPr>
            <w:r w:rsidRPr="00343486">
              <w:rPr>
                <w:rFonts w:ascii="Times New Roman" w:hAnsi="Times New Roman" w:cs="Times New Roman"/>
                <w:b/>
                <w:sz w:val="24"/>
                <w:szCs w:val="24"/>
              </w:rPr>
              <w:t>Земельні ресурси</w:t>
            </w:r>
          </w:p>
        </w:tc>
        <w:tc>
          <w:tcPr>
            <w:tcW w:w="753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sz w:val="24"/>
                <w:szCs w:val="24"/>
              </w:rPr>
            </w:pPr>
            <w:r w:rsidRPr="00343486">
              <w:rPr>
                <w:rFonts w:ascii="Times New Roman" w:hAnsi="Times New Roman" w:cs="Times New Roman"/>
                <w:sz w:val="24"/>
                <w:szCs w:val="24"/>
              </w:rPr>
              <w:t>Створення нових житлових кварталів пов’язане із інтенсифікацією тиску на навколишнє середовище як під час будівництва, так і у процесі подальшої експлуатації.</w:t>
            </w:r>
          </w:p>
        </w:tc>
      </w:tr>
      <w:tr w:rsidR="00582D5E" w:rsidRPr="00343486" w:rsidTr="00216C16">
        <w:tc>
          <w:tcPr>
            <w:tcW w:w="219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b/>
                <w:sz w:val="24"/>
                <w:szCs w:val="24"/>
              </w:rPr>
            </w:pPr>
            <w:r w:rsidRPr="00343486">
              <w:rPr>
                <w:rFonts w:ascii="Times New Roman" w:hAnsi="Times New Roman" w:cs="Times New Roman"/>
                <w:b/>
                <w:sz w:val="24"/>
                <w:szCs w:val="24"/>
              </w:rPr>
              <w:t>Ґрунтовий покрив</w:t>
            </w:r>
          </w:p>
        </w:tc>
        <w:tc>
          <w:tcPr>
            <w:tcW w:w="753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sz w:val="24"/>
                <w:szCs w:val="24"/>
              </w:rPr>
            </w:pPr>
            <w:r w:rsidRPr="00343486">
              <w:rPr>
                <w:rFonts w:ascii="Times New Roman" w:hAnsi="Times New Roman" w:cs="Times New Roman"/>
                <w:sz w:val="24"/>
                <w:szCs w:val="24"/>
              </w:rPr>
              <w:t>Забруднення хімічними речовинами ґрунтів у зв’язку із діяльністю автотранспорту, збільшення площ із твердим покриттям.</w:t>
            </w:r>
          </w:p>
          <w:p w:rsidR="00582D5E" w:rsidRPr="00343486" w:rsidRDefault="00582D5E" w:rsidP="00216C16">
            <w:pPr>
              <w:widowControl w:val="0"/>
              <w:spacing w:line="240" w:lineRule="auto"/>
              <w:rPr>
                <w:rFonts w:ascii="Times New Roman" w:hAnsi="Times New Roman" w:cs="Times New Roman"/>
                <w:sz w:val="24"/>
                <w:szCs w:val="24"/>
              </w:rPr>
            </w:pPr>
            <w:r w:rsidRPr="00343486">
              <w:rPr>
                <w:rFonts w:ascii="Times New Roman" w:hAnsi="Times New Roman" w:cs="Times New Roman"/>
                <w:sz w:val="24"/>
                <w:szCs w:val="24"/>
              </w:rPr>
              <w:t>Необхідність проведення комплексу інженерних заходів і споруд з освоєння території для відповідного містобудівного використання, поліпшення санітарно-гігієнічних умов та мікроклімату</w:t>
            </w:r>
          </w:p>
        </w:tc>
      </w:tr>
      <w:tr w:rsidR="00582D5E" w:rsidRPr="00343486" w:rsidTr="00216C16">
        <w:tc>
          <w:tcPr>
            <w:tcW w:w="219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b/>
                <w:sz w:val="24"/>
                <w:szCs w:val="24"/>
              </w:rPr>
            </w:pPr>
            <w:r w:rsidRPr="00343486">
              <w:rPr>
                <w:rFonts w:ascii="Times New Roman" w:hAnsi="Times New Roman" w:cs="Times New Roman"/>
                <w:b/>
                <w:sz w:val="24"/>
                <w:szCs w:val="24"/>
              </w:rPr>
              <w:t>Рослинний і тваринний світ</w:t>
            </w:r>
          </w:p>
        </w:tc>
        <w:tc>
          <w:tcPr>
            <w:tcW w:w="753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sz w:val="24"/>
                <w:szCs w:val="24"/>
              </w:rPr>
            </w:pPr>
            <w:r w:rsidRPr="00343486">
              <w:rPr>
                <w:rFonts w:ascii="Times New Roman" w:hAnsi="Times New Roman" w:cs="Times New Roman"/>
                <w:sz w:val="24"/>
                <w:szCs w:val="24"/>
              </w:rPr>
              <w:t xml:space="preserve">Можливе зменшення  біорізноманіття, через руйнування існуючих біотопів. </w:t>
            </w:r>
          </w:p>
        </w:tc>
      </w:tr>
      <w:tr w:rsidR="00582D5E" w:rsidRPr="00343486" w:rsidTr="00216C16">
        <w:tc>
          <w:tcPr>
            <w:tcW w:w="219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b/>
                <w:sz w:val="24"/>
                <w:szCs w:val="24"/>
              </w:rPr>
            </w:pPr>
            <w:r w:rsidRPr="00343486">
              <w:rPr>
                <w:rFonts w:ascii="Times New Roman" w:hAnsi="Times New Roman" w:cs="Times New Roman"/>
                <w:b/>
                <w:sz w:val="24"/>
                <w:szCs w:val="24"/>
              </w:rPr>
              <w:t>Здоров’я населення</w:t>
            </w:r>
          </w:p>
        </w:tc>
        <w:tc>
          <w:tcPr>
            <w:tcW w:w="7530" w:type="dxa"/>
            <w:tcBorders>
              <w:top w:val="nil"/>
            </w:tcBorders>
            <w:tcMar>
              <w:top w:w="100" w:type="dxa"/>
              <w:left w:w="100" w:type="dxa"/>
              <w:bottom w:w="100" w:type="dxa"/>
              <w:right w:w="100" w:type="dxa"/>
            </w:tcMar>
          </w:tcPr>
          <w:p w:rsidR="00582D5E" w:rsidRPr="00343486" w:rsidRDefault="00582D5E" w:rsidP="00216C16">
            <w:pPr>
              <w:widowControl w:val="0"/>
              <w:spacing w:line="240" w:lineRule="auto"/>
              <w:rPr>
                <w:rFonts w:ascii="Times New Roman" w:hAnsi="Times New Roman" w:cs="Times New Roman"/>
                <w:sz w:val="24"/>
                <w:szCs w:val="24"/>
              </w:rPr>
            </w:pPr>
            <w:r w:rsidRPr="00343486">
              <w:rPr>
                <w:rFonts w:ascii="Times New Roman" w:hAnsi="Times New Roman" w:cs="Times New Roman"/>
                <w:sz w:val="24"/>
                <w:szCs w:val="24"/>
              </w:rPr>
              <w:t>Забруднення від діяльності транспорту може зумовити негативні наслідки для здоров’я населення, особливо у місцях найбільших концентрацій забруднювачів або надмірного шумового тиску.  Погіршення здоров’я населення внаслідок утворення постійних теплових островів.</w:t>
            </w:r>
          </w:p>
        </w:tc>
      </w:tr>
    </w:tbl>
    <w:p w:rsidR="00582D5E" w:rsidRPr="00343486" w:rsidRDefault="00582D5E">
      <w:pPr>
        <w:shd w:val="clear" w:color="auto" w:fill="FFFFFF"/>
        <w:spacing w:before="240" w:after="60" w:line="240" w:lineRule="auto"/>
        <w:ind w:right="30"/>
        <w:jc w:val="both"/>
        <w:rPr>
          <w:rFonts w:ascii="Times New Roman" w:hAnsi="Times New Roman" w:cs="Times New Roman"/>
          <w:b/>
          <w:i/>
          <w:sz w:val="24"/>
          <w:szCs w:val="24"/>
        </w:rPr>
      </w:pPr>
      <w:r w:rsidRPr="00343486">
        <w:rPr>
          <w:rFonts w:ascii="Times New Roman" w:hAnsi="Times New Roman" w:cs="Times New Roman"/>
          <w:color w:val="FF0000"/>
          <w:sz w:val="24"/>
          <w:szCs w:val="24"/>
        </w:rPr>
        <w:tab/>
      </w:r>
      <w:r w:rsidRPr="00343486">
        <w:rPr>
          <w:rFonts w:ascii="Times New Roman" w:hAnsi="Times New Roman" w:cs="Times New Roman"/>
          <w:b/>
          <w:i/>
          <w:sz w:val="24"/>
          <w:szCs w:val="24"/>
        </w:rPr>
        <w:t>б) для територій з природоохоронним статусом.</w:t>
      </w:r>
    </w:p>
    <w:p w:rsidR="00582D5E" w:rsidRPr="00343486" w:rsidRDefault="00582D5E" w:rsidP="00A05B5B">
      <w:pPr>
        <w:shd w:val="clear" w:color="auto" w:fill="FFFFFF"/>
        <w:spacing w:before="240" w:after="60"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Проектні рішення ДДП «Детальний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 очікування впливу не передбачається, оскільки об’єкти природно - заповідного фонду на земельній ділянці проектування та на прилеглих до ділянки проектування територіях відсутні.</w:t>
      </w:r>
    </w:p>
    <w:p w:rsidR="00582D5E" w:rsidRDefault="00582D5E">
      <w:pPr>
        <w:spacing w:line="240" w:lineRule="auto"/>
        <w:ind w:firstLine="709"/>
        <w:jc w:val="both"/>
        <w:rPr>
          <w:rFonts w:ascii="Times New Roman" w:hAnsi="Times New Roman" w:cs="Times New Roman"/>
          <w:b/>
          <w:i/>
          <w:sz w:val="24"/>
          <w:szCs w:val="24"/>
          <w:lang w:val="en-US"/>
        </w:rPr>
      </w:pPr>
    </w:p>
    <w:p w:rsidR="00582D5E" w:rsidRPr="00343486" w:rsidRDefault="00582D5E">
      <w:pPr>
        <w:spacing w:line="240" w:lineRule="auto"/>
        <w:ind w:firstLine="709"/>
        <w:jc w:val="both"/>
        <w:rPr>
          <w:rFonts w:ascii="Times New Roman" w:hAnsi="Times New Roman" w:cs="Times New Roman"/>
          <w:b/>
          <w:i/>
          <w:sz w:val="24"/>
          <w:szCs w:val="24"/>
        </w:rPr>
      </w:pPr>
      <w:r w:rsidRPr="00343486">
        <w:rPr>
          <w:rFonts w:ascii="Times New Roman" w:hAnsi="Times New Roman" w:cs="Times New Roman"/>
          <w:b/>
          <w:i/>
          <w:sz w:val="24"/>
          <w:szCs w:val="24"/>
        </w:rPr>
        <w:t>в) транскордонні наслідки для довкілля, у тому числі для здоров’я населення.</w:t>
      </w:r>
    </w:p>
    <w:p w:rsidR="00582D5E" w:rsidRPr="00343486" w:rsidRDefault="00582D5E">
      <w:pPr>
        <w:shd w:val="clear" w:color="auto" w:fill="FFFFFF"/>
        <w:spacing w:before="240" w:after="60"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Проектні рішення  «Детальний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 не матимуть транскордонних наслідків для довкілля, у тому числі для здоров’я населення через віддаленість до кордонів сусідніх з Україною держав та локальний масштаб проектних рішень. </w:t>
      </w:r>
    </w:p>
    <w:p w:rsidR="00582D5E" w:rsidRPr="00343486" w:rsidRDefault="00582D5E">
      <w:pPr>
        <w:shd w:val="clear" w:color="auto" w:fill="FFFFFF"/>
        <w:spacing w:before="240" w:after="60" w:line="240" w:lineRule="auto"/>
        <w:ind w:right="30"/>
        <w:rPr>
          <w:rFonts w:ascii="Times New Roman" w:hAnsi="Times New Roman" w:cs="Times New Roman"/>
          <w:b/>
          <w:sz w:val="24"/>
          <w:szCs w:val="24"/>
        </w:rPr>
      </w:pPr>
      <w:r w:rsidRPr="00343486">
        <w:rPr>
          <w:rFonts w:ascii="Times New Roman" w:hAnsi="Times New Roman" w:cs="Times New Roman"/>
          <w:b/>
          <w:sz w:val="24"/>
          <w:szCs w:val="24"/>
        </w:rPr>
        <w:t>5. Виправдані альтернативи, які необхідно розглянути, у тому числі якщо документ державного планування не буде затверджено</w:t>
      </w:r>
    </w:p>
    <w:p w:rsidR="00582D5E" w:rsidRPr="00343486" w:rsidRDefault="00582D5E">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В процесі виконання стратегічної екологічної оцінки буде розглянута планувальна альтернатива «нульовий сценарій» (тобто опис, прогнозування та оцінка ситуації у випадку не затвердження зазначеного ДДП), а також інші планувальні альтернативи, які включатимуть прогнозування та оцінку ситуації у випадку затвердження різних варіантів проектних рішень в складі ДДП. Оцінка ефективності вказаних альтернативних варіантів буде відображена у Звіті про СЕО ДДП «Детальний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w:t>
      </w:r>
    </w:p>
    <w:p w:rsidR="00582D5E" w:rsidRPr="00343486" w:rsidRDefault="00582D5E">
      <w:pPr>
        <w:shd w:val="clear" w:color="auto" w:fill="FFFFFF"/>
        <w:spacing w:before="240" w:after="60" w:line="240" w:lineRule="auto"/>
        <w:ind w:right="30"/>
        <w:jc w:val="both"/>
        <w:rPr>
          <w:rFonts w:ascii="Times New Roman" w:hAnsi="Times New Roman" w:cs="Times New Roman"/>
          <w:b/>
          <w:sz w:val="24"/>
          <w:szCs w:val="24"/>
        </w:rPr>
      </w:pPr>
      <w:r w:rsidRPr="00343486">
        <w:rPr>
          <w:rFonts w:ascii="Times New Roman" w:hAnsi="Times New Roman" w:cs="Times New Roman"/>
          <w:b/>
          <w:sz w:val="24"/>
          <w:szCs w:val="24"/>
        </w:rPr>
        <w:t>6. Дослідження, які необхідно провести, методи і критерії, що використовуватимуться під час стратегічної екологічної оцінки</w:t>
      </w:r>
    </w:p>
    <w:p w:rsidR="00582D5E" w:rsidRPr="00343486" w:rsidRDefault="00582D5E">
      <w:pPr>
        <w:shd w:val="clear" w:color="auto" w:fill="FFFFFF"/>
        <w:spacing w:before="240" w:after="60" w:line="240" w:lineRule="auto"/>
        <w:ind w:right="30"/>
        <w:jc w:val="both"/>
        <w:rPr>
          <w:rFonts w:ascii="Times New Roman" w:hAnsi="Times New Roman" w:cs="Times New Roman"/>
          <w:sz w:val="24"/>
          <w:szCs w:val="24"/>
        </w:rPr>
      </w:pPr>
      <w:r w:rsidRPr="00343486">
        <w:rPr>
          <w:rFonts w:ascii="Times New Roman" w:hAnsi="Times New Roman" w:cs="Times New Roman"/>
          <w:b/>
          <w:sz w:val="24"/>
          <w:szCs w:val="24"/>
        </w:rPr>
        <w:tab/>
      </w:r>
      <w:r w:rsidRPr="00343486">
        <w:rPr>
          <w:rFonts w:ascii="Times New Roman" w:hAnsi="Times New Roman" w:cs="Times New Roman"/>
          <w:sz w:val="24"/>
          <w:szCs w:val="24"/>
        </w:rPr>
        <w:t>Для розробки стратегічної екологічної оцінки передбачається використовувати наступну інформацію (за умови що така інформація буде надана):</w:t>
      </w:r>
    </w:p>
    <w:p w:rsidR="00582D5E" w:rsidRPr="00343486" w:rsidRDefault="00582D5E" w:rsidP="004A4DC4">
      <w:pPr>
        <w:shd w:val="clear" w:color="auto" w:fill="FFFFFF"/>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доповіді про стан довкілля у центральної частини міста Павлоград;</w:t>
      </w:r>
      <w:r w:rsidRPr="00343486">
        <w:rPr>
          <w:rFonts w:ascii="Times New Roman" w:hAnsi="Times New Roman" w:cs="Times New Roman"/>
          <w:sz w:val="24"/>
          <w:szCs w:val="24"/>
        </w:rPr>
        <w:tab/>
      </w:r>
    </w:p>
    <w:p w:rsidR="00582D5E" w:rsidRPr="00343486" w:rsidRDefault="00582D5E" w:rsidP="004A4DC4">
      <w:pPr>
        <w:shd w:val="clear" w:color="auto" w:fill="FFFFFF"/>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xml:space="preserve">-  статистичну </w:t>
      </w:r>
      <w:r w:rsidRPr="00343486">
        <w:rPr>
          <w:rFonts w:ascii="Times New Roman" w:hAnsi="Times New Roman" w:cs="Times New Roman"/>
          <w:sz w:val="24"/>
          <w:szCs w:val="24"/>
        </w:rPr>
        <w:tab/>
        <w:t>інформацію щодо стану довкілля, дані моніторингу стану довкілля у Павлоградському районі</w:t>
      </w:r>
    </w:p>
    <w:p w:rsidR="00582D5E" w:rsidRPr="00343486" w:rsidRDefault="00582D5E" w:rsidP="004A4DC4">
      <w:pPr>
        <w:shd w:val="clear" w:color="auto" w:fill="FFFFFF"/>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Відомості про стан та місце розташування об'єктів ПЗФ;</w:t>
      </w:r>
    </w:p>
    <w:p w:rsidR="00582D5E" w:rsidRPr="00343486" w:rsidRDefault="00582D5E" w:rsidP="004A4DC4">
      <w:pPr>
        <w:shd w:val="clear" w:color="auto" w:fill="FFFFFF"/>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xml:space="preserve">- Пропозиції </w:t>
      </w:r>
      <w:r w:rsidRPr="00343486">
        <w:rPr>
          <w:rFonts w:ascii="Times New Roman" w:hAnsi="Times New Roman" w:cs="Times New Roman"/>
          <w:sz w:val="24"/>
          <w:szCs w:val="24"/>
        </w:rPr>
        <w:tab/>
        <w:t xml:space="preserve">щодо зміни існуючого функціонального </w:t>
      </w:r>
      <w:r w:rsidRPr="00343486">
        <w:rPr>
          <w:rFonts w:ascii="Times New Roman" w:hAnsi="Times New Roman" w:cs="Times New Roman"/>
          <w:sz w:val="24"/>
          <w:szCs w:val="24"/>
        </w:rPr>
        <w:tab/>
        <w:t>використання території;</w:t>
      </w:r>
    </w:p>
    <w:p w:rsidR="00582D5E" w:rsidRPr="00343486" w:rsidRDefault="00582D5E" w:rsidP="004A4DC4">
      <w:pPr>
        <w:shd w:val="clear" w:color="auto" w:fill="FFFFFF"/>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Відомості про інтенсивність руху на автомобільних дорогах;</w:t>
      </w:r>
    </w:p>
    <w:p w:rsidR="00582D5E" w:rsidRPr="00343486" w:rsidRDefault="00582D5E" w:rsidP="004A4DC4">
      <w:pPr>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xml:space="preserve"> - Відомості про агровиробничі групи ґрунтів;</w:t>
      </w:r>
    </w:p>
    <w:p w:rsidR="00582D5E" w:rsidRPr="00343486" w:rsidRDefault="00582D5E" w:rsidP="004A4DC4">
      <w:pPr>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Відомості про складності будівельних умов де підземні води по відношенню до бетону не мають агресивності;</w:t>
      </w:r>
    </w:p>
    <w:p w:rsidR="00582D5E" w:rsidRPr="00343486" w:rsidRDefault="00582D5E" w:rsidP="004A4DC4">
      <w:pPr>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xml:space="preserve"> - Відомості про тваринний та рослинний світ;</w:t>
      </w:r>
    </w:p>
    <w:p w:rsidR="00582D5E" w:rsidRPr="00343486" w:rsidRDefault="00582D5E" w:rsidP="004A4DC4">
      <w:pPr>
        <w:shd w:val="clear" w:color="auto" w:fill="FFFFFF"/>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xml:space="preserve"> - Топографічну основу і набір профільних геопросторових даних ДДП «Детальний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 з планувальними альтернативами;</w:t>
      </w:r>
    </w:p>
    <w:p w:rsidR="00582D5E" w:rsidRPr="00343486" w:rsidRDefault="00582D5E" w:rsidP="004A4DC4">
      <w:pPr>
        <w:shd w:val="clear" w:color="auto" w:fill="FFFFFF"/>
        <w:spacing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 xml:space="preserve"> - Відкриті картографічні джерела, космічні знімки.</w:t>
      </w:r>
    </w:p>
    <w:p w:rsidR="00582D5E" w:rsidRPr="00343486" w:rsidRDefault="00582D5E">
      <w:pPr>
        <w:shd w:val="clear" w:color="auto" w:fill="FFFFFF"/>
        <w:spacing w:before="240" w:after="60"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Для аналізу території буде використано геоінформаційну модель території, застосовано методику нечіткої оцінки впливу об’єктів на навколишнє середовище на основі просторового розташування об’єктів території, методичні та методологічні підходи ландшафтного планування та інші методики, необхідність застосування яких буде визначено за результатами пропозицій, що надійдуть під час розгляду цього документу за процедурою, визначеною ст. 9,10 Закону України “Про стратегічну екологічну оцінку ”.</w:t>
      </w:r>
    </w:p>
    <w:p w:rsidR="00582D5E" w:rsidRPr="00343486" w:rsidRDefault="00582D5E">
      <w:pPr>
        <w:shd w:val="clear" w:color="auto" w:fill="FFFFFF"/>
        <w:spacing w:before="240" w:after="60" w:line="240" w:lineRule="auto"/>
        <w:ind w:right="30"/>
        <w:jc w:val="both"/>
        <w:rPr>
          <w:rFonts w:ascii="Times New Roman" w:hAnsi="Times New Roman" w:cs="Times New Roman"/>
          <w:b/>
          <w:sz w:val="24"/>
          <w:szCs w:val="24"/>
        </w:rPr>
      </w:pPr>
      <w:r w:rsidRPr="00343486">
        <w:rPr>
          <w:rFonts w:ascii="Times New Roman" w:hAnsi="Times New Roman" w:cs="Times New Roman"/>
          <w:b/>
          <w:sz w:val="24"/>
          <w:szCs w:val="24"/>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З метою запобігання, зменшення та пом’якшення негативних наслідків виконання документа державного планування передбачається організація благоустрою території проектування в цілому.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З метою створення комфортного середовища для життєдіяльності та забезпечення охорони природного середовища в межах проектної території садибної забудови передбачається вжити низку інженерних заходів,  а саме: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виконання інженерної підготовки та вертикального планування території;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удосконалення інженерної інфраструктури з влаштуванням систем дренажів, дощової каналізації;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повне забезпечення території централізованою системою водопостачання та каналізування;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прокладання кабельних ліній електропостачання замість повітряних ліній;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упорядкування, благоустрій і озеленення вільних від забудови територій,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наразі вільну від високорослого озеленення зону озеленення спеціального призначення з боку кладовища, передбачається за рахунок смуги захисної посадки, декоративних насаджень та встановлення огородження вздовж східної межі кладовища з урахуванням забезпечення достатнього провітрювання та інсоляції,</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очищення берегів та самої існуючої водойми,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проведення додаткових заходів від зсувів шляхом висадження дерев та влаштування штучних робіт;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організація централізованої санітарної очистки території із запровадженням системи роздільного збирання побутових відходів.</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при будівництві проектних будівель в межах ДПТ передбачається максимально повно використовувати сучасні технології зведення подібних об'єктів та використовувати при цьому високоефективні екологічні матеріали.</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Охорона атмосферного повітря. Заходи для забезпечень нормативного стану атмосферного повітря під час будівництва включають: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влаштування необхідних огороджень будівельних майданчиків (охоронних, захисних або сигнальних);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контроль за точним дотриманням технології провадження робіт.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Розосередження в часі роботи будівельних машин і механізмів, не задіяних у єдиному безупинному технологічному процесі. Виключення роботи машин та механізмів на холостому</w:t>
      </w:r>
      <w:r w:rsidRPr="00343486">
        <w:rPr>
          <w:rFonts w:ascii="Times New Roman" w:hAnsi="Times New Roman" w:cs="Times New Roman"/>
          <w:color w:val="FF0000"/>
          <w:sz w:val="24"/>
          <w:szCs w:val="24"/>
        </w:rPr>
        <w:t xml:space="preserve"> </w:t>
      </w:r>
      <w:r w:rsidRPr="00343486">
        <w:rPr>
          <w:rFonts w:ascii="Times New Roman" w:hAnsi="Times New Roman" w:cs="Times New Roman"/>
          <w:sz w:val="24"/>
          <w:szCs w:val="24"/>
        </w:rPr>
        <w:t>ході.</w:t>
      </w:r>
      <w:r w:rsidRPr="00343486">
        <w:rPr>
          <w:rFonts w:ascii="Times New Roman" w:hAnsi="Times New Roman" w:cs="Times New Roman"/>
          <w:color w:val="FF0000"/>
          <w:sz w:val="24"/>
          <w:szCs w:val="24"/>
        </w:rPr>
        <w:t xml:space="preserve"> </w:t>
      </w:r>
      <w:r w:rsidRPr="00343486">
        <w:rPr>
          <w:rFonts w:ascii="Times New Roman" w:hAnsi="Times New Roman" w:cs="Times New Roman"/>
          <w:sz w:val="24"/>
          <w:szCs w:val="24"/>
        </w:rPr>
        <w:t>Влаштування тимчасових внутрішньо майданчикових доріг, по можливості, використовуючи існуючі дороги для зменшення утворення пилу</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Заходи щодо зменшення шуму та вібрації.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Основними джерелами шуму та вібрації при будівництві є будівельна техніка та автотранспорт.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Заходи для зменшення впливу шуму та вібрації на прилеглі території та на території будівельного майданчику включають: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заборона робіт в нічний час за винятком випадків, коли розпочаті будівельні роботи не можуть бути призупинені;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частини будівельного устаткування, які мають вібрацію, повинні бути огороджені і бути максимально віддаленими від найближчих житлових та громадських будівель;</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влаштування шумозахисного огородження (акустичних панелей) вздовж залізниці за межами території проектування для захисту існуючої малоповерхової квартирної забудови в межах ДПТ зі східного боку;</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влаштування проти-вібраційних екранів (траншей) для зменшення тимчасових вібрацій під час проходження потягів.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Заходи щодо запобігання погіршення санітарно-епідеміологічних умов території житлової забудови: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проведення забудови згідно з функціональним зонуванням території населеного пункту;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дотримання нормативних вимог щодо режиму використання територій в СЗЗ від суміжних об'єктів (територій);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впровадження сучасних технологій будівництва та підготовки території,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забезпечення інженерного захисту, інженерної підготовки території;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озеленення території, створення шумозахисних насаджень, озеленення спеціального призначення.</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Заходи щодо пом’якшення існуючої ситуації при погіршенні якості атмосферного повітря та появі джерел неприємних запахів: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виявлення аварійних викидів;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вчасне планування ремонтних та відновлювальних робіт по обладнанню;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збирання, обробка та зберігання інформації, автоматизація процесів, фіксація таких;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підготовка документації про величини викидів за формами статистичної звітності;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аналіз поточної інформації, складання екологічного прогнозу;</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передбачається проводити щорічний моніторинг атмосферного повітря та шуму на межі житлової забудови та суміжних виробничо-складських територій розташованих за межами  ДПТ.</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Заходи щодо охорони ґрунтів та земель: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Забруднення ґрунту під час будівництва можливе у разі витоку палива та мастил від автотранспорту і будівельних машин, також можливе забруднення території відходами та сміттям.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Засоби забезпечення нормативного стану земельних ресурсів під час будівництва включають: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обов'язково дотримуватися меж території, відведеної для будівництва;</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sym w:font="Symbol" w:char="F02D"/>
      </w:r>
      <w:r w:rsidRPr="00343486">
        <w:rPr>
          <w:rFonts w:ascii="Times New Roman" w:hAnsi="Times New Roman" w:cs="Times New Roman"/>
          <w:sz w:val="24"/>
          <w:szCs w:val="24"/>
        </w:rPr>
        <w:t xml:space="preserve">  всі будівельні матеріали повинні бути розміщені на спеціально відведеному майданчику з</w:t>
      </w:r>
      <w:r w:rsidRPr="00343486">
        <w:rPr>
          <w:rFonts w:ascii="Times New Roman" w:hAnsi="Times New Roman" w:cs="Times New Roman"/>
          <w:sz w:val="24"/>
          <w:szCs w:val="24"/>
        </w:rPr>
        <w:sym w:font="Symbol" w:char="F02D"/>
      </w:r>
      <w:r w:rsidRPr="00343486">
        <w:rPr>
          <w:rFonts w:ascii="Times New Roman" w:hAnsi="Times New Roman" w:cs="Times New Roman"/>
          <w:sz w:val="24"/>
          <w:szCs w:val="24"/>
        </w:rPr>
        <w:t xml:space="preserve"> твердим покриттям;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контроль за роботою інженерного обладнання, механізмів і транспортних засобів,</w:t>
      </w:r>
      <w:r w:rsidRPr="00343486">
        <w:rPr>
          <w:rFonts w:ascii="Times New Roman" w:hAnsi="Times New Roman" w:cs="Times New Roman"/>
          <w:sz w:val="24"/>
          <w:szCs w:val="24"/>
        </w:rPr>
        <w:sym w:font="Symbol" w:char="F02D"/>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своєчасний ремонт, недопущення роботи несправних механізмів;  заправка будівельної техніки тільки закритим способом або поза територією будівельного майданчика – автозаправниками;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заправка автотранспорту повинна бути тільки на автозаправних станціях;</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передбачається влаштування твердого асфальтованого покриття нових проектних вулиць, реконструкція й заміна покриття на існуючих вулицях в межах ДПТ.</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lang w:val="ru-RU"/>
        </w:rPr>
      </w:pP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Поводження з відходами під час будівництва: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дотримуватися вимог законодавчих та інших нормативно-правових актів у сфері поводження з</w:t>
      </w:r>
      <w:r w:rsidRPr="00343486">
        <w:rPr>
          <w:rFonts w:ascii="Times New Roman" w:hAnsi="Times New Roman" w:cs="Times New Roman"/>
          <w:sz w:val="24"/>
          <w:szCs w:val="24"/>
        </w:rPr>
        <w:sym w:font="Symbol" w:char="F02D"/>
      </w:r>
      <w:r w:rsidRPr="00343486">
        <w:rPr>
          <w:rFonts w:ascii="Times New Roman" w:hAnsi="Times New Roman" w:cs="Times New Roman"/>
          <w:sz w:val="24"/>
          <w:szCs w:val="24"/>
        </w:rPr>
        <w:t xml:space="preserve"> відходами;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оснащення будівельного майданчика контейнерами для роздільного збору побутових і</w:t>
      </w:r>
      <w:r w:rsidRPr="00343486">
        <w:rPr>
          <w:rFonts w:ascii="Times New Roman" w:hAnsi="Times New Roman" w:cs="Times New Roman"/>
          <w:sz w:val="24"/>
          <w:szCs w:val="24"/>
        </w:rPr>
        <w:sym w:font="Symbol" w:char="F02D"/>
      </w:r>
      <w:r w:rsidRPr="00343486">
        <w:rPr>
          <w:rFonts w:ascii="Times New Roman" w:hAnsi="Times New Roman" w:cs="Times New Roman"/>
          <w:sz w:val="24"/>
          <w:szCs w:val="24"/>
        </w:rPr>
        <w:t xml:space="preserve"> будівельних відходів;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тимчасове складування будівельних і побутових відходів у пересувних контейнерах в</w:t>
      </w:r>
      <w:r w:rsidRPr="00343486">
        <w:rPr>
          <w:rFonts w:ascii="Times New Roman" w:hAnsi="Times New Roman" w:cs="Times New Roman"/>
          <w:sz w:val="24"/>
          <w:szCs w:val="24"/>
        </w:rPr>
        <w:sym w:font="Symbol" w:char="F02D"/>
      </w:r>
      <w:r w:rsidRPr="00343486">
        <w:rPr>
          <w:rFonts w:ascii="Times New Roman" w:hAnsi="Times New Roman" w:cs="Times New Roman"/>
          <w:sz w:val="24"/>
          <w:szCs w:val="24"/>
        </w:rPr>
        <w:t xml:space="preserve"> спеціально відведених місцях;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вивезення та подальша утилізація будівельного сміття.</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Поводження з відходами під час експлуатації: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а) запобігати утворенню та зменшувати обсяги утворення відходів;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б)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нормативно-правових актів, які затверджуються центральним органом виконавчої влади, що забезпечує формування державної політики у сфері санітарного та епідемічного благополуччя населення,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в) на основі матеріально 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утилізуються та видаляються, і подавати щодо них звітність у встановленому законодавством порядку</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Заходи щодо пожежної безпеки.</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Витримані протипожежні відстані. Заплановані пожежні гідранти на системі водопостачання.</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xml:space="preserve">- На території забороняється розведення вогнищ, спалювання відходів та побутового сміття. </w:t>
      </w:r>
    </w:p>
    <w:p w:rsidR="00582D5E" w:rsidRPr="00343486" w:rsidRDefault="00582D5E" w:rsidP="00BE7ED0">
      <w:pPr>
        <w:shd w:val="clear" w:color="auto" w:fill="FFFFFF"/>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 Передбачити завчасні заходи по недопущенню виникнення надзвичайних ситуацій техногенного характеру. З цією метою розробити переліки заходів з попередження надзвичайних ситуацій окремих видів, які регламентують поточну планову діяльність.</w:t>
      </w:r>
    </w:p>
    <w:p w:rsidR="00582D5E" w:rsidRPr="00343486" w:rsidRDefault="00582D5E">
      <w:pPr>
        <w:shd w:val="clear" w:color="auto" w:fill="FFFFFF"/>
        <w:spacing w:before="240" w:after="60" w:line="240" w:lineRule="auto"/>
        <w:ind w:right="30"/>
        <w:jc w:val="both"/>
        <w:rPr>
          <w:rFonts w:ascii="Times New Roman" w:hAnsi="Times New Roman" w:cs="Times New Roman"/>
          <w:sz w:val="24"/>
          <w:szCs w:val="24"/>
        </w:rPr>
      </w:pPr>
      <w:r w:rsidRPr="00343486">
        <w:rPr>
          <w:rFonts w:ascii="Times New Roman" w:hAnsi="Times New Roman" w:cs="Times New Roman"/>
          <w:b/>
          <w:sz w:val="24"/>
          <w:szCs w:val="24"/>
        </w:rPr>
        <w:t>8. Пропозиції щодо структури та змісту звіту про стратегічну екологічну оцінку</w:t>
      </w:r>
      <w:r w:rsidRPr="00343486">
        <w:rPr>
          <w:rFonts w:ascii="Times New Roman" w:hAnsi="Times New Roman" w:cs="Times New Roman"/>
          <w:b/>
          <w:sz w:val="24"/>
          <w:szCs w:val="24"/>
        </w:rPr>
        <w:br/>
      </w:r>
      <w:r w:rsidRPr="00343486">
        <w:rPr>
          <w:rFonts w:ascii="Times New Roman" w:hAnsi="Times New Roman" w:cs="Times New Roman"/>
          <w:b/>
          <w:sz w:val="24"/>
          <w:szCs w:val="24"/>
        </w:rPr>
        <w:tab/>
      </w:r>
      <w:r w:rsidRPr="00343486">
        <w:rPr>
          <w:rFonts w:ascii="Times New Roman" w:hAnsi="Times New Roman" w:cs="Times New Roman"/>
          <w:sz w:val="24"/>
          <w:szCs w:val="24"/>
        </w:rPr>
        <w:t xml:space="preserve">Структура звіту про стратегічну екологічну оцінку буде виконуватися згідно Закону України «Про стратегічну екологічну оцінку» та Методичних рекомендацій із здійснення стратегічної екологічної оцінки ДДП. </w:t>
      </w:r>
    </w:p>
    <w:p w:rsidR="00582D5E" w:rsidRPr="00343486" w:rsidRDefault="00582D5E">
      <w:pPr>
        <w:shd w:val="clear" w:color="auto" w:fill="FFFFFF"/>
        <w:spacing w:before="240" w:after="60" w:line="240" w:lineRule="auto"/>
        <w:ind w:right="30"/>
        <w:jc w:val="both"/>
        <w:rPr>
          <w:rFonts w:ascii="Times New Roman" w:hAnsi="Times New Roman" w:cs="Times New Roman"/>
          <w:sz w:val="24"/>
          <w:szCs w:val="24"/>
        </w:rPr>
      </w:pPr>
      <w:r w:rsidRPr="00343486">
        <w:rPr>
          <w:rFonts w:ascii="Times New Roman" w:hAnsi="Times New Roman" w:cs="Times New Roman"/>
          <w:sz w:val="24"/>
          <w:szCs w:val="24"/>
        </w:rPr>
        <w:tab/>
        <w:t>Зміст стратегічної екологічної оцінки визначається переліком основних екологічних проблем наявних на території розробки ДДП «Детальний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w:t>
      </w:r>
    </w:p>
    <w:p w:rsidR="00582D5E" w:rsidRPr="00343486" w:rsidRDefault="00582D5E">
      <w:pPr>
        <w:shd w:val="clear" w:color="auto" w:fill="FFFFFF"/>
        <w:spacing w:before="240" w:after="60" w:line="240" w:lineRule="auto"/>
        <w:ind w:right="30"/>
        <w:jc w:val="both"/>
        <w:rPr>
          <w:rFonts w:ascii="Times New Roman" w:hAnsi="Times New Roman" w:cs="Times New Roman"/>
          <w:b/>
          <w:sz w:val="24"/>
          <w:szCs w:val="24"/>
        </w:rPr>
      </w:pPr>
      <w:r w:rsidRPr="00343486">
        <w:rPr>
          <w:rFonts w:ascii="Times New Roman" w:hAnsi="Times New Roman" w:cs="Times New Roman"/>
          <w:b/>
          <w:sz w:val="24"/>
          <w:szCs w:val="24"/>
        </w:rPr>
        <w:t>9. Органом, до якого подаються зауваження і пропозиції та строки їх подання</w:t>
      </w:r>
    </w:p>
    <w:p w:rsidR="00582D5E" w:rsidRPr="00343486" w:rsidRDefault="00582D5E" w:rsidP="00343486">
      <w:pPr>
        <w:spacing w:line="240" w:lineRule="auto"/>
        <w:ind w:right="30" w:firstLine="720"/>
        <w:jc w:val="both"/>
        <w:rPr>
          <w:rFonts w:ascii="Times New Roman" w:hAnsi="Times New Roman" w:cs="Times New Roman"/>
          <w:sz w:val="24"/>
          <w:szCs w:val="24"/>
        </w:rPr>
      </w:pPr>
      <w:r w:rsidRPr="00343486">
        <w:rPr>
          <w:rFonts w:ascii="Times New Roman" w:hAnsi="Times New Roman" w:cs="Times New Roman"/>
          <w:sz w:val="24"/>
          <w:szCs w:val="24"/>
        </w:rPr>
        <w:t>є Відділ містобудування та архітектури Павлоградської міської ради. Адреса: 51400, Дніпропетровська обл., м.</w:t>
      </w:r>
      <w:r w:rsidRPr="00343486">
        <w:rPr>
          <w:rFonts w:ascii="Times New Roman" w:hAnsi="Times New Roman" w:cs="Times New Roman"/>
        </w:rPr>
        <w:t> </w:t>
      </w:r>
      <w:r w:rsidRPr="00343486">
        <w:rPr>
          <w:rFonts w:ascii="Times New Roman" w:hAnsi="Times New Roman" w:cs="Times New Roman"/>
          <w:sz w:val="24"/>
          <w:szCs w:val="24"/>
        </w:rPr>
        <w:t xml:space="preserve">Павлоград, вул. Соборна,95. тел.:. (+38095) 694-29-57,   </w:t>
      </w:r>
      <w:r w:rsidRPr="00343486">
        <w:rPr>
          <w:rFonts w:ascii="Times New Roman" w:hAnsi="Times New Roman" w:cs="Times New Roman"/>
          <w:sz w:val="24"/>
          <w:szCs w:val="24"/>
          <w:lang w:val="ru-RU"/>
        </w:rPr>
        <w:t xml:space="preserve">                   </w:t>
      </w:r>
      <w:r w:rsidRPr="00343486">
        <w:rPr>
          <w:rFonts w:ascii="Times New Roman" w:hAnsi="Times New Roman" w:cs="Times New Roman"/>
          <w:sz w:val="24"/>
          <w:szCs w:val="24"/>
          <w:lang w:val="en-US"/>
        </w:rPr>
        <w:t>e</w:t>
      </w:r>
      <w:r w:rsidRPr="00343486">
        <w:rPr>
          <w:rFonts w:ascii="Times New Roman" w:hAnsi="Times New Roman" w:cs="Times New Roman"/>
          <w:sz w:val="24"/>
          <w:szCs w:val="24"/>
          <w:lang w:val="ru-RU"/>
        </w:rPr>
        <w:t>-</w:t>
      </w:r>
      <w:r w:rsidRPr="00343486">
        <w:rPr>
          <w:rFonts w:ascii="Times New Roman" w:hAnsi="Times New Roman" w:cs="Times New Roman"/>
          <w:sz w:val="24"/>
          <w:szCs w:val="24"/>
          <w:lang w:val="en-US"/>
        </w:rPr>
        <w:t>mail</w:t>
      </w:r>
      <w:r w:rsidRPr="00343486">
        <w:rPr>
          <w:rFonts w:ascii="Times New Roman" w:hAnsi="Times New Roman" w:cs="Times New Roman"/>
          <w:sz w:val="24"/>
          <w:szCs w:val="24"/>
          <w:lang w:val="ru-RU"/>
        </w:rPr>
        <w:t xml:space="preserve">: </w:t>
      </w:r>
      <w:r w:rsidRPr="00343486">
        <w:rPr>
          <w:rFonts w:ascii="Times New Roman" w:hAnsi="Times New Roman" w:cs="Times New Roman"/>
          <w:sz w:val="24"/>
          <w:szCs w:val="24"/>
          <w:lang w:val="en-GB"/>
        </w:rPr>
        <w:t>arhitektura</w:t>
      </w:r>
      <w:r w:rsidRPr="00343486">
        <w:rPr>
          <w:rFonts w:ascii="Times New Roman" w:hAnsi="Times New Roman" w:cs="Times New Roman"/>
          <w:sz w:val="24"/>
          <w:szCs w:val="24"/>
          <w:lang w:val="ru-RU"/>
        </w:rPr>
        <w:t>_</w:t>
      </w:r>
      <w:r w:rsidRPr="00343486">
        <w:rPr>
          <w:rFonts w:ascii="Times New Roman" w:hAnsi="Times New Roman" w:cs="Times New Roman"/>
          <w:sz w:val="24"/>
          <w:szCs w:val="24"/>
          <w:lang w:val="en-GB"/>
        </w:rPr>
        <w:t>pvlg</w:t>
      </w:r>
      <w:r w:rsidRPr="00343486">
        <w:rPr>
          <w:rFonts w:ascii="Times New Roman" w:hAnsi="Times New Roman" w:cs="Times New Roman"/>
          <w:sz w:val="24"/>
          <w:szCs w:val="24"/>
          <w:lang w:val="ru-RU"/>
        </w:rPr>
        <w:t>@</w:t>
      </w:r>
      <w:r w:rsidRPr="00343486">
        <w:rPr>
          <w:rFonts w:ascii="Times New Roman" w:hAnsi="Times New Roman" w:cs="Times New Roman"/>
          <w:sz w:val="24"/>
          <w:szCs w:val="24"/>
          <w:lang w:val="en-GB"/>
        </w:rPr>
        <w:t>i</w:t>
      </w:r>
      <w:r w:rsidRPr="00343486">
        <w:rPr>
          <w:rFonts w:ascii="Times New Roman" w:hAnsi="Times New Roman" w:cs="Times New Roman"/>
          <w:sz w:val="24"/>
          <w:szCs w:val="24"/>
          <w:lang w:val="ru-RU"/>
        </w:rPr>
        <w:t>.</w:t>
      </w:r>
      <w:r w:rsidRPr="00343486">
        <w:rPr>
          <w:rFonts w:ascii="Times New Roman" w:hAnsi="Times New Roman" w:cs="Times New Roman"/>
          <w:sz w:val="24"/>
          <w:szCs w:val="24"/>
          <w:lang w:val="en-GB"/>
        </w:rPr>
        <w:t>ua</w:t>
      </w:r>
      <w:r w:rsidRPr="00343486">
        <w:rPr>
          <w:rFonts w:ascii="Times New Roman" w:hAnsi="Times New Roman" w:cs="Times New Roman"/>
          <w:sz w:val="24"/>
          <w:szCs w:val="24"/>
        </w:rPr>
        <w:t>.</w:t>
      </w:r>
    </w:p>
    <w:p w:rsidR="00582D5E" w:rsidRDefault="00582D5E">
      <w:pPr>
        <w:spacing w:line="240" w:lineRule="auto"/>
        <w:ind w:right="30"/>
        <w:jc w:val="both"/>
        <w:rPr>
          <w:rFonts w:ascii="Times New Roman" w:hAnsi="Times New Roman" w:cs="Times New Roman"/>
          <w:b/>
          <w:i/>
          <w:sz w:val="24"/>
          <w:szCs w:val="24"/>
          <w:lang w:val="en-US"/>
        </w:rPr>
      </w:pPr>
    </w:p>
    <w:p w:rsidR="00582D5E" w:rsidRPr="00343486" w:rsidRDefault="00582D5E">
      <w:pPr>
        <w:spacing w:line="240" w:lineRule="auto"/>
        <w:ind w:right="30"/>
        <w:jc w:val="both"/>
        <w:rPr>
          <w:rFonts w:ascii="Times New Roman" w:hAnsi="Times New Roman" w:cs="Times New Roman"/>
          <w:b/>
          <w:i/>
          <w:sz w:val="24"/>
          <w:szCs w:val="24"/>
        </w:rPr>
      </w:pPr>
      <w:r w:rsidRPr="00343486">
        <w:rPr>
          <w:rFonts w:ascii="Times New Roman" w:hAnsi="Times New Roman" w:cs="Times New Roman"/>
          <w:b/>
          <w:i/>
          <w:sz w:val="24"/>
          <w:szCs w:val="24"/>
        </w:rPr>
        <w:t>Строки подання</w:t>
      </w:r>
    </w:p>
    <w:p w:rsidR="00582D5E" w:rsidRPr="00343486" w:rsidRDefault="00582D5E" w:rsidP="00343486">
      <w:pPr>
        <w:shd w:val="clear" w:color="auto" w:fill="FFFFFF"/>
        <w:spacing w:line="240" w:lineRule="auto"/>
        <w:ind w:right="28" w:firstLine="709"/>
        <w:jc w:val="both"/>
        <w:rPr>
          <w:rFonts w:ascii="Times New Roman" w:hAnsi="Times New Roman" w:cs="Times New Roman"/>
          <w:sz w:val="24"/>
          <w:szCs w:val="24"/>
        </w:rPr>
      </w:pPr>
      <w:r w:rsidRPr="00343486">
        <w:rPr>
          <w:rFonts w:ascii="Times New Roman" w:hAnsi="Times New Roman" w:cs="Times New Roman"/>
          <w:sz w:val="24"/>
          <w:szCs w:val="24"/>
        </w:rPr>
        <w:t>Відповідно до п.п. 5, 6 ст. 10 Закону України «Про стратегічну екологічну оцінку», строк громадського обговорення - 15 днів з дня публікації заяви про визначення обсягу стратегічної екологічної оцінки містобудівної документації місцевого рівня.</w:t>
      </w:r>
    </w:p>
    <w:p w:rsidR="00582D5E" w:rsidRPr="00343486" w:rsidRDefault="00582D5E" w:rsidP="00343486">
      <w:pPr>
        <w:shd w:val="clear" w:color="auto" w:fill="FFFFFF"/>
        <w:spacing w:line="240" w:lineRule="auto"/>
        <w:ind w:right="28" w:firstLine="709"/>
        <w:jc w:val="both"/>
        <w:rPr>
          <w:rFonts w:ascii="Times New Roman" w:hAnsi="Times New Roman" w:cs="Times New Roman"/>
          <w:sz w:val="24"/>
          <w:szCs w:val="24"/>
        </w:rPr>
      </w:pPr>
      <w:r w:rsidRPr="00343486">
        <w:rPr>
          <w:rFonts w:ascii="Times New Roman" w:hAnsi="Times New Roman" w:cs="Times New Roman"/>
          <w:sz w:val="24"/>
          <w:szCs w:val="24"/>
        </w:rPr>
        <w:t>Зауваження та пропозиції до Заяви про визначення обсягу стратегічної екологічної оцінки ДДП «Детальний план території кварталу, обмеженої вулицею Дніпровська, високовольтною лінією 330кВт та дорогою у напрямку лісу, для розміщення оздоровчо-розважального комплексу» надаються особисто або через уповноваженого представника у письмовому вигляді із зазначенням прізвища, ім’я та по-батькові, місця проживання, особистого підпису; від юридичних осіб – із зазначенням їх найменування, місця знаходження, посади і особистого підпису.</w:t>
      </w:r>
    </w:p>
    <w:sectPr w:rsidR="00582D5E" w:rsidRPr="00343486" w:rsidSect="00343486">
      <w:headerReference w:type="even" r:id="rId8"/>
      <w:headerReference w:type="default" r:id="rId9"/>
      <w:footerReference w:type="default" r:id="rId10"/>
      <w:footerReference w:type="first" r:id="rId11"/>
      <w:pgSz w:w="11906" w:h="16838"/>
      <w:pgMar w:top="720" w:right="720" w:bottom="72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5E" w:rsidRDefault="00582D5E">
      <w:pPr>
        <w:spacing w:line="240" w:lineRule="auto"/>
      </w:pPr>
      <w:r>
        <w:separator/>
      </w:r>
    </w:p>
  </w:endnote>
  <w:endnote w:type="continuationSeparator" w:id="0">
    <w:p w:rsidR="00582D5E" w:rsidRDefault="00582D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5E" w:rsidRDefault="00582D5E"/>
  <w:p w:rsidR="00582D5E" w:rsidRPr="00343486" w:rsidRDefault="00582D5E">
    <w:pPr>
      <w:jc w:val="both"/>
      <w:rPr>
        <w:sz w:val="18"/>
        <w:szCs w:val="18"/>
        <w:lang w:val="en-US"/>
      </w:rPr>
    </w:pPr>
    <w:r>
      <w:pict>
        <v:rect id="_x0000_i1028" style="width:0;height:1.5pt" o:hralign="center" o:hrstd="t" o:hr="t" fillcolor="#a0a0a0" stroked="f"/>
      </w:pict>
    </w:r>
    <w:r>
      <w:br/>
    </w:r>
  </w:p>
  <w:p w:rsidR="00582D5E" w:rsidRDefault="00582D5E">
    <w:pPr>
      <w:rPr>
        <w:rFonts w:ascii="Times New Roman" w:hAnsi="Times New Roman" w:cs="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5E" w:rsidRDefault="00582D5E"/>
  <w:p w:rsidR="00582D5E" w:rsidRDefault="00582D5E">
    <w:pPr>
      <w:jc w:val="both"/>
      <w:rPr>
        <w:sz w:val="18"/>
        <w:szCs w:val="18"/>
      </w:rPr>
    </w:pPr>
    <w:r>
      <w:pict>
        <v:rect id="_x0000_i1030" style="width:0;height:1.5pt" o:hralign="center" o:hrstd="t" o:hr="t" fillcolor="#a0a0a0" stroked="f"/>
      </w:pict>
    </w:r>
    <w:r>
      <w:rPr>
        <w:sz w:val="18"/>
        <w:szCs w:val="18"/>
        <w:highlight w:val="white"/>
      </w:rPr>
      <w:t xml:space="preserve"> </w:t>
    </w:r>
  </w:p>
  <w:p w:rsidR="00582D5E" w:rsidRDefault="00582D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5E" w:rsidRDefault="00582D5E">
      <w:pPr>
        <w:spacing w:line="240" w:lineRule="auto"/>
      </w:pPr>
      <w:r>
        <w:separator/>
      </w:r>
    </w:p>
  </w:footnote>
  <w:footnote w:type="continuationSeparator" w:id="0">
    <w:p w:rsidR="00582D5E" w:rsidRDefault="00582D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5E" w:rsidRDefault="00582D5E" w:rsidP="009F5CEE">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82D5E" w:rsidRDefault="00582D5E" w:rsidP="0034348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5E" w:rsidRDefault="00582D5E" w:rsidP="009F5CEE">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rsidR="00582D5E" w:rsidRDefault="00582D5E" w:rsidP="00343486">
    <w:pPr>
      <w:spacing w:before="240" w:after="240" w:line="240" w:lineRule="auto"/>
      <w:ind w:right="360"/>
      <w:rPr>
        <w:rFonts w:ascii="Times New Roman" w:hAnsi="Times New Roman" w:cs="Times New Roman"/>
        <w:color w:val="808080"/>
        <w:sz w:val="18"/>
        <w:szCs w:val="18"/>
      </w:rPr>
    </w:pP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rPr>
        <w:rFonts w:ascii="Times New Roman" w:hAnsi="Times New Roman" w:cs="Times New Roman"/>
        <w:color w:val="808080"/>
        <w:sz w:val="18"/>
        <w:szCs w:val="18"/>
      </w:rPr>
      <w:tab/>
    </w:r>
    <w:r>
      <w:pict>
        <v:rect id="_x0000_i1026"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C0874"/>
    <w:multiLevelType w:val="multilevel"/>
    <w:tmpl w:val="DB76E4F8"/>
    <w:lvl w:ilvl="0">
      <w:start w:val="7"/>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43932DF1"/>
    <w:multiLevelType w:val="multilevel"/>
    <w:tmpl w:val="540E3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C5177F"/>
    <w:multiLevelType w:val="multilevel"/>
    <w:tmpl w:val="16AAB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BAA"/>
    <w:rsid w:val="00016086"/>
    <w:rsid w:val="00040AA4"/>
    <w:rsid w:val="000502B9"/>
    <w:rsid w:val="000812B2"/>
    <w:rsid w:val="00081714"/>
    <w:rsid w:val="00082ED1"/>
    <w:rsid w:val="00091EED"/>
    <w:rsid w:val="000E6B6B"/>
    <w:rsid w:val="000E753F"/>
    <w:rsid w:val="0011002D"/>
    <w:rsid w:val="0014493F"/>
    <w:rsid w:val="00170F98"/>
    <w:rsid w:val="001A2F0D"/>
    <w:rsid w:val="001B410E"/>
    <w:rsid w:val="001E7413"/>
    <w:rsid w:val="00216C16"/>
    <w:rsid w:val="002371B5"/>
    <w:rsid w:val="002A2AC1"/>
    <w:rsid w:val="002B440C"/>
    <w:rsid w:val="002C1E62"/>
    <w:rsid w:val="00343486"/>
    <w:rsid w:val="003A47C8"/>
    <w:rsid w:val="003A4D88"/>
    <w:rsid w:val="003F1196"/>
    <w:rsid w:val="004710E9"/>
    <w:rsid w:val="00472530"/>
    <w:rsid w:val="00473255"/>
    <w:rsid w:val="004A4DC4"/>
    <w:rsid w:val="00520777"/>
    <w:rsid w:val="00582D5E"/>
    <w:rsid w:val="005B0F94"/>
    <w:rsid w:val="005B18FC"/>
    <w:rsid w:val="00600F8D"/>
    <w:rsid w:val="00622FF9"/>
    <w:rsid w:val="00684D09"/>
    <w:rsid w:val="006B75B4"/>
    <w:rsid w:val="006D7367"/>
    <w:rsid w:val="00785AC0"/>
    <w:rsid w:val="007A7554"/>
    <w:rsid w:val="007B4F50"/>
    <w:rsid w:val="0082430C"/>
    <w:rsid w:val="00852CB5"/>
    <w:rsid w:val="008D5A88"/>
    <w:rsid w:val="0097743A"/>
    <w:rsid w:val="009C5802"/>
    <w:rsid w:val="009E0CA2"/>
    <w:rsid w:val="009F0D2E"/>
    <w:rsid w:val="009F5CEE"/>
    <w:rsid w:val="00A05B5B"/>
    <w:rsid w:val="00AE40D0"/>
    <w:rsid w:val="00AE4135"/>
    <w:rsid w:val="00B128CD"/>
    <w:rsid w:val="00B56EB2"/>
    <w:rsid w:val="00B77DDF"/>
    <w:rsid w:val="00B846BF"/>
    <w:rsid w:val="00BB51ED"/>
    <w:rsid w:val="00BE7608"/>
    <w:rsid w:val="00BE7ED0"/>
    <w:rsid w:val="00C16BBC"/>
    <w:rsid w:val="00C26B43"/>
    <w:rsid w:val="00D1605B"/>
    <w:rsid w:val="00D5311B"/>
    <w:rsid w:val="00D835CA"/>
    <w:rsid w:val="00DD2870"/>
    <w:rsid w:val="00DE1BAA"/>
    <w:rsid w:val="00E416EE"/>
    <w:rsid w:val="00E57979"/>
    <w:rsid w:val="00E87D8C"/>
    <w:rsid w:val="00E94DC8"/>
    <w:rsid w:val="00F50ECB"/>
    <w:rsid w:val="00F60796"/>
    <w:rsid w:val="00FE4D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88"/>
    <w:pPr>
      <w:spacing w:line="276" w:lineRule="auto"/>
    </w:pPr>
    <w:rPr>
      <w:lang w:val="uk-UA"/>
    </w:rPr>
  </w:style>
  <w:style w:type="paragraph" w:styleId="Heading1">
    <w:name w:val="heading 1"/>
    <w:basedOn w:val="Normal"/>
    <w:next w:val="Normal"/>
    <w:link w:val="Heading1Char"/>
    <w:uiPriority w:val="99"/>
    <w:qFormat/>
    <w:rsid w:val="003A4D88"/>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3A4D88"/>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3A4D88"/>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3A4D88"/>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3A4D88"/>
    <w:pPr>
      <w:keepNext/>
      <w:keepLines/>
      <w:spacing w:before="240" w:after="80"/>
      <w:outlineLvl w:val="4"/>
    </w:pPr>
    <w:rPr>
      <w:color w:val="666666"/>
    </w:rPr>
  </w:style>
  <w:style w:type="paragraph" w:styleId="Heading6">
    <w:name w:val="heading 6"/>
    <w:basedOn w:val="Normal"/>
    <w:next w:val="Normal"/>
    <w:link w:val="Heading6Char"/>
    <w:uiPriority w:val="99"/>
    <w:qFormat/>
    <w:rsid w:val="003A4D88"/>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7F1"/>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C637F1"/>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C637F1"/>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C637F1"/>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C637F1"/>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C637F1"/>
    <w:rPr>
      <w:rFonts w:asciiTheme="minorHAnsi" w:eastAsiaTheme="minorEastAsia" w:hAnsiTheme="minorHAnsi" w:cstheme="minorBidi"/>
      <w:b/>
      <w:bCs/>
      <w:lang w:val="uk-UA"/>
    </w:rPr>
  </w:style>
  <w:style w:type="table" w:customStyle="1" w:styleId="TableNormal1">
    <w:name w:val="Table Normal1"/>
    <w:uiPriority w:val="99"/>
    <w:rsid w:val="003A4D88"/>
    <w:pPr>
      <w:spacing w:line="276"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3A4D88"/>
    <w:pPr>
      <w:keepNext/>
      <w:keepLines/>
      <w:spacing w:after="60"/>
    </w:pPr>
    <w:rPr>
      <w:sz w:val="52"/>
      <w:szCs w:val="52"/>
    </w:rPr>
  </w:style>
  <w:style w:type="character" w:customStyle="1" w:styleId="TitleChar">
    <w:name w:val="Title Char"/>
    <w:basedOn w:val="DefaultParagraphFont"/>
    <w:link w:val="Title"/>
    <w:uiPriority w:val="10"/>
    <w:rsid w:val="00C637F1"/>
    <w:rPr>
      <w:rFonts w:asciiTheme="majorHAnsi" w:eastAsiaTheme="majorEastAsia" w:hAnsiTheme="majorHAnsi" w:cstheme="majorBidi"/>
      <w:b/>
      <w:bCs/>
      <w:kern w:val="28"/>
      <w:sz w:val="32"/>
      <w:szCs w:val="32"/>
      <w:lang w:val="uk-UA"/>
    </w:rPr>
  </w:style>
  <w:style w:type="paragraph" w:styleId="Subtitle">
    <w:name w:val="Subtitle"/>
    <w:basedOn w:val="Normal"/>
    <w:next w:val="Normal"/>
    <w:link w:val="SubtitleChar"/>
    <w:uiPriority w:val="99"/>
    <w:qFormat/>
    <w:rsid w:val="003A4D88"/>
    <w:pPr>
      <w:keepNext/>
      <w:keepLines/>
      <w:spacing w:after="320"/>
    </w:pPr>
    <w:rPr>
      <w:color w:val="666666"/>
      <w:sz w:val="30"/>
      <w:szCs w:val="30"/>
    </w:rPr>
  </w:style>
  <w:style w:type="character" w:customStyle="1" w:styleId="SubtitleChar">
    <w:name w:val="Subtitle Char"/>
    <w:basedOn w:val="DefaultParagraphFont"/>
    <w:link w:val="Subtitle"/>
    <w:uiPriority w:val="11"/>
    <w:rsid w:val="00C637F1"/>
    <w:rPr>
      <w:rFonts w:asciiTheme="majorHAnsi" w:eastAsiaTheme="majorEastAsia" w:hAnsiTheme="majorHAnsi" w:cstheme="majorBidi"/>
      <w:sz w:val="24"/>
      <w:szCs w:val="24"/>
      <w:lang w:val="uk-UA"/>
    </w:rPr>
  </w:style>
  <w:style w:type="table" w:customStyle="1" w:styleId="a">
    <w:name w:val="Стиль"/>
    <w:basedOn w:val="TableNormal1"/>
    <w:uiPriority w:val="99"/>
    <w:rsid w:val="003A4D88"/>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rsid w:val="00D5311B"/>
    <w:pPr>
      <w:tabs>
        <w:tab w:val="center" w:pos="4677"/>
        <w:tab w:val="right" w:pos="9355"/>
      </w:tabs>
      <w:spacing w:line="240" w:lineRule="auto"/>
    </w:pPr>
  </w:style>
  <w:style w:type="character" w:customStyle="1" w:styleId="HeaderChar">
    <w:name w:val="Header Char"/>
    <w:basedOn w:val="DefaultParagraphFont"/>
    <w:link w:val="Header"/>
    <w:uiPriority w:val="99"/>
    <w:locked/>
    <w:rsid w:val="00D5311B"/>
    <w:rPr>
      <w:rFonts w:cs="Times New Roman"/>
    </w:rPr>
  </w:style>
  <w:style w:type="paragraph" w:styleId="Footer">
    <w:name w:val="footer"/>
    <w:basedOn w:val="Normal"/>
    <w:link w:val="FooterChar"/>
    <w:uiPriority w:val="99"/>
    <w:rsid w:val="00D5311B"/>
    <w:pPr>
      <w:tabs>
        <w:tab w:val="center" w:pos="4677"/>
        <w:tab w:val="right" w:pos="9355"/>
      </w:tabs>
      <w:spacing w:line="240" w:lineRule="auto"/>
    </w:pPr>
  </w:style>
  <w:style w:type="character" w:customStyle="1" w:styleId="FooterChar">
    <w:name w:val="Footer Char"/>
    <w:basedOn w:val="DefaultParagraphFont"/>
    <w:link w:val="Footer"/>
    <w:uiPriority w:val="99"/>
    <w:locked/>
    <w:rsid w:val="00D5311B"/>
    <w:rPr>
      <w:rFonts w:cs="Times New Roman"/>
    </w:rPr>
  </w:style>
  <w:style w:type="paragraph" w:customStyle="1" w:styleId="Default">
    <w:name w:val="Default"/>
    <w:uiPriority w:val="99"/>
    <w:rsid w:val="000812B2"/>
    <w:pPr>
      <w:autoSpaceDE w:val="0"/>
      <w:autoSpaceDN w:val="0"/>
      <w:adjustRightInd w:val="0"/>
    </w:pPr>
    <w:rPr>
      <w:rFonts w:ascii="Times New Roman" w:hAnsi="Times New Roman" w:cs="Times New Roman"/>
      <w:color w:val="000000"/>
      <w:sz w:val="24"/>
      <w:szCs w:val="24"/>
      <w:lang w:val="uk-UA"/>
    </w:rPr>
  </w:style>
  <w:style w:type="paragraph" w:styleId="ListParagraph">
    <w:name w:val="List Paragraph"/>
    <w:basedOn w:val="Normal"/>
    <w:uiPriority w:val="99"/>
    <w:qFormat/>
    <w:rsid w:val="00E416EE"/>
    <w:pPr>
      <w:ind w:left="720"/>
      <w:contextualSpacing/>
    </w:pPr>
    <w:rPr>
      <w:rFonts w:ascii="Times New Roman" w:hAnsi="Times New Roman" w:cs="Times New Roman"/>
      <w:sz w:val="24"/>
      <w:lang w:eastAsia="en-US"/>
    </w:rPr>
  </w:style>
  <w:style w:type="character" w:styleId="PageNumber">
    <w:name w:val="page number"/>
    <w:basedOn w:val="DefaultParagraphFont"/>
    <w:uiPriority w:val="99"/>
    <w:rsid w:val="003434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36/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1009</TotalTime>
  <Pages>9</Pages>
  <Words>3838</Words>
  <Characters>21877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Shiyan</dc:creator>
  <cp:keywords/>
  <dc:description/>
  <cp:lastModifiedBy>arch6</cp:lastModifiedBy>
  <cp:revision>22</cp:revision>
  <cp:lastPrinted>2020-12-04T12:17:00Z</cp:lastPrinted>
  <dcterms:created xsi:type="dcterms:W3CDTF">2020-09-17T13:50:00Z</dcterms:created>
  <dcterms:modified xsi:type="dcterms:W3CDTF">2020-12-04T12:17:00Z</dcterms:modified>
</cp:coreProperties>
</file>