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A2" w:rsidRPr="00EE52A2" w:rsidRDefault="00FB6BA2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EE52A2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Додаток 2</w:t>
      </w:r>
    </w:p>
    <w:p w:rsidR="00F429B5" w:rsidRPr="00EE52A2" w:rsidRDefault="00FB6BA2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EE52A2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До Порядку передачі документації </w:t>
      </w:r>
    </w:p>
    <w:p w:rsidR="00F429B5" w:rsidRPr="00EE52A2" w:rsidRDefault="00FB6BA2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EE52A2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для надання висновку з оцінки впливу </w:t>
      </w:r>
    </w:p>
    <w:p w:rsidR="00F429B5" w:rsidRPr="00EE52A2" w:rsidRDefault="00FB6BA2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EE52A2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на довкілля та фінансування оцінки впливу </w:t>
      </w:r>
    </w:p>
    <w:p w:rsidR="00FB6BA2" w:rsidRPr="00EE52A2" w:rsidRDefault="00FB6BA2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EE52A2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на довкілля</w:t>
      </w:r>
    </w:p>
    <w:p w:rsidR="00FB6BA2" w:rsidRDefault="00FB6BA2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_</w:t>
      </w:r>
      <w:bookmarkStart w:id="0" w:name="_GoBack"/>
      <w:bookmarkEnd w:id="0"/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_________________________________________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(дата офіційного опублікування в Єдиному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 xml:space="preserve"> реєстрі з оцінки впливу на довкілля (автоматично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 xml:space="preserve"> генерується програмними  засобами ведення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Єдиного реєстру з оцінки впливу на довкілля,</w:t>
      </w:r>
    </w:p>
    <w:p w:rsidR="002C1FD4" w:rsidRPr="0075685C" w:rsidRDefault="00B7030F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B7030F">
        <w:rPr>
          <w:rFonts w:ascii="Times New Roman" w:eastAsia="Andale Sans UI" w:hAnsi="Times New Roman" w:cs="Tahoma"/>
          <w:noProof/>
          <w:color w:val="000000" w:themeColor="text1"/>
          <w:kern w:val="3"/>
          <w:sz w:val="24"/>
          <w:szCs w:val="24"/>
          <w:lang w:val="ru-RU" w:eastAsia="ru-RU"/>
        </w:rPr>
        <w:pict>
          <v:rect id="Прямоугольник 4" o:spid="_x0000_s1026" style="position:absolute;left:0;text-align:left;margin-left:286.15pt;margin-top:8.2pt;width:141pt;height:22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" filled="f" stroked="f" strokeweight="2pt">
            <v:textbox>
              <w:txbxContent>
                <w:p w:rsidR="003841F5" w:rsidRDefault="003841F5" w:rsidP="003841F5">
                  <w:pPr>
                    <w:jc w:val="center"/>
                  </w:pPr>
                  <w:r>
                    <w:rPr>
                      <w:rFonts w:ascii="Times New Roman" w:eastAsia="Andale Sans UI" w:hAnsi="Times New Roman" w:cs="Tahoma"/>
                      <w:color w:val="000000" w:themeColor="text1"/>
                      <w:kern w:val="3"/>
                      <w:sz w:val="24"/>
                      <w:szCs w:val="24"/>
                      <w:lang w:val="uk-UA" w:bidi="en-US"/>
                    </w:rPr>
                    <w:t>202111248984</w:t>
                  </w:r>
                </w:p>
              </w:txbxContent>
            </v:textbox>
          </v:rect>
        </w:pict>
      </w:r>
      <w:r w:rsidR="002C1FD4"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 не зазначається суб'єктом господарювання)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_________________________________________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(реєстраційний номер справи про оцінку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впливу на довкілля планованої діяльності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(автоматично генерується програмними засобами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 xml:space="preserve"> ведення Єдиного реєстру з оцінки впливу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>на довкілля, для паперової версії зазначається</w:t>
      </w:r>
    </w:p>
    <w:p w:rsidR="002C1FD4" w:rsidRPr="0075685C" w:rsidRDefault="002C1FD4" w:rsidP="002C1FD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val="uk-UA" w:bidi="en-US"/>
        </w:rPr>
        <w:t xml:space="preserve">  суб'єктом господарювання)</w:t>
      </w:r>
    </w:p>
    <w:p w:rsidR="002C1FD4" w:rsidRPr="0075685C" w:rsidRDefault="002C1FD4" w:rsidP="002C1FD4">
      <w:pPr>
        <w:rPr>
          <w:sz w:val="24"/>
          <w:szCs w:val="24"/>
          <w:lang w:val="uk-UA"/>
        </w:rPr>
      </w:pPr>
    </w:p>
    <w:p w:rsidR="002C1FD4" w:rsidRPr="0075685C" w:rsidRDefault="002C1FD4" w:rsidP="002C1FD4">
      <w:pPr>
        <w:suppressAutoHyphens/>
        <w:autoSpaceDN w:val="0"/>
        <w:spacing w:before="280"/>
        <w:jc w:val="center"/>
        <w:textAlignment w:val="baseline"/>
        <w:outlineLvl w:val="2"/>
        <w:rPr>
          <w:rFonts w:ascii="Times New Roman" w:eastAsia="Times New Roman" w:hAnsi="Times New Roman" w:cs="Tahoma"/>
          <w:b/>
          <w:bCs/>
          <w:color w:val="000000" w:themeColor="text1"/>
          <w:kern w:val="3"/>
          <w:sz w:val="24"/>
          <w:szCs w:val="24"/>
          <w:lang w:val="uk-UA" w:bidi="en-US"/>
        </w:rPr>
      </w:pPr>
      <w:r w:rsidRPr="0075685C">
        <w:rPr>
          <w:rFonts w:ascii="Times New Roman" w:eastAsia="Times New Roman" w:hAnsi="Times New Roman" w:cs="Tahoma"/>
          <w:b/>
          <w:bCs/>
          <w:color w:val="000000" w:themeColor="text1"/>
          <w:kern w:val="3"/>
          <w:sz w:val="24"/>
          <w:szCs w:val="24"/>
          <w:lang w:val="uk-UA" w:bidi="en-US"/>
        </w:rPr>
        <w:t>ПОВІДОМЛЕННЯ</w:t>
      </w:r>
      <w:r w:rsidRPr="0075685C">
        <w:rPr>
          <w:rFonts w:ascii="Times New Roman" w:eastAsia="Times New Roman" w:hAnsi="Times New Roman" w:cs="Tahoma"/>
          <w:b/>
          <w:bCs/>
          <w:color w:val="000000" w:themeColor="text1"/>
          <w:kern w:val="3"/>
          <w:sz w:val="24"/>
          <w:szCs w:val="24"/>
          <w:lang w:val="uk-UA" w:bidi="en-US"/>
        </w:rPr>
        <w:br/>
        <w:t>про плановану діяльність, яка підлягає оцінці впливу на довкілля</w:t>
      </w:r>
    </w:p>
    <w:tbl>
      <w:tblPr>
        <w:tblW w:w="996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"/>
        <w:gridCol w:w="9745"/>
        <w:gridCol w:w="108"/>
      </w:tblGrid>
      <w:tr w:rsidR="002C1FD4" w:rsidRPr="00DD3013" w:rsidTr="007A29F8">
        <w:trPr>
          <w:gridAfter w:val="1"/>
          <w:wAfter w:w="108" w:type="dxa"/>
        </w:trPr>
        <w:tc>
          <w:tcPr>
            <w:tcW w:w="985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FE5D39" w:rsidRDefault="00FE5D39" w:rsidP="007F2AD7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ru-RU" w:bidi="en-US"/>
              </w:rPr>
            </w:pPr>
            <w:r w:rsidRPr="00FE5D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proofErr w:type="gramStart"/>
            <w:r w:rsidRPr="00FE5D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proofErr w:type="gramEnd"/>
            <w:r w:rsidRPr="00FE5D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ОБМЕЖЕНОЮ ВІДПОВІДАЛЬНІСТЮ  «ПАРАЛЛЕЛЬ-М ЛТД»</w:t>
            </w:r>
          </w:p>
        </w:tc>
      </w:tr>
      <w:tr w:rsidR="002C1FD4" w:rsidRPr="00DD3013" w:rsidTr="007A29F8">
        <w:trPr>
          <w:gridAfter w:val="1"/>
          <w:wAfter w:w="108" w:type="dxa"/>
        </w:trPr>
        <w:tc>
          <w:tcPr>
            <w:tcW w:w="985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B27D2C" w:rsidRDefault="002C1FD4" w:rsidP="007A2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0"/>
                <w:szCs w:val="20"/>
                <w:lang w:val="uk-UA" w:bidi="en-US"/>
              </w:rPr>
            </w:pPr>
            <w:r w:rsidRPr="00B27D2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0"/>
                <w:szCs w:val="20"/>
                <w:lang w:val="uk-UA" w:bidi="en-US"/>
              </w:rPr>
              <w:t>(повне найменування юридичної особи, код згідно з ЄДРПОУ або прізвище, ім'я та по батькові</w:t>
            </w:r>
          </w:p>
        </w:tc>
      </w:tr>
      <w:tr w:rsidR="002C1FD4" w:rsidRPr="0075685C" w:rsidTr="007A29F8">
        <w:trPr>
          <w:gridAfter w:val="1"/>
          <w:wAfter w:w="108" w:type="dxa"/>
        </w:trPr>
        <w:tc>
          <w:tcPr>
            <w:tcW w:w="985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7D65E6" w:rsidRDefault="00FE5D39" w:rsidP="007D65E6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FE5D39">
              <w:rPr>
                <w:rFonts w:ascii="Times New Roman" w:eastAsia="Times New Roman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ідентифікаційний код - № 24316073</w:t>
            </w:r>
          </w:p>
        </w:tc>
      </w:tr>
      <w:tr w:rsidR="002C1FD4" w:rsidRPr="0075685C" w:rsidTr="007A29F8">
        <w:trPr>
          <w:gridAfter w:val="1"/>
          <w:wAfter w:w="108" w:type="dxa"/>
        </w:trPr>
        <w:tc>
          <w:tcPr>
            <w:tcW w:w="985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B27D2C" w:rsidRDefault="002C1FD4" w:rsidP="007A2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0"/>
                <w:szCs w:val="20"/>
                <w:lang w:val="uk-UA" w:bidi="en-US"/>
              </w:rPr>
            </w:pPr>
            <w:r w:rsidRPr="00B27D2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0"/>
                <w:szCs w:val="20"/>
                <w:lang w:val="uk-UA" w:bidi="en-US"/>
              </w:rPr>
              <w:t>фізичної особи - підприємця, ідентифікаційний код або</w:t>
            </w:r>
          </w:p>
        </w:tc>
      </w:tr>
      <w:tr w:rsidR="002C1FD4" w:rsidRPr="0075685C" w:rsidTr="007A29F8">
        <w:trPr>
          <w:gridAfter w:val="1"/>
          <w:wAfter w:w="108" w:type="dxa"/>
        </w:trPr>
        <w:tc>
          <w:tcPr>
            <w:tcW w:w="985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75685C" w:rsidRDefault="002C1FD4" w:rsidP="007A2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ahoma"/>
                <w:b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</w:p>
        </w:tc>
      </w:tr>
      <w:tr w:rsidR="002C1FD4" w:rsidRPr="00DD3013" w:rsidTr="007A29F8">
        <w:trPr>
          <w:gridAfter w:val="1"/>
          <w:wAfter w:w="108" w:type="dxa"/>
        </w:trPr>
        <w:tc>
          <w:tcPr>
            <w:tcW w:w="985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B27D2C" w:rsidRDefault="002C1FD4" w:rsidP="007A29F8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B27D2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серія та номер паспорта (для фізичних осіб, які через свої релігійні переконання відмовляються від 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паспорті)</w:t>
            </w:r>
          </w:p>
          <w:p w:rsidR="002C1FD4" w:rsidRPr="00B27D2C" w:rsidRDefault="002C1FD4" w:rsidP="007A29F8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</w:p>
          <w:p w:rsidR="002C1FD4" w:rsidRPr="00B27D2C" w:rsidRDefault="002C1FD4" w:rsidP="007A29F8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B27D2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інформує про намір провадити плановану діяльність та оцінку її впливу на довкілля.</w:t>
            </w:r>
          </w:p>
          <w:p w:rsidR="002C1FD4" w:rsidRPr="0075685C" w:rsidRDefault="002C1FD4" w:rsidP="007A29F8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</w:p>
        </w:tc>
      </w:tr>
      <w:tr w:rsidR="002C1FD4" w:rsidRPr="0075685C" w:rsidTr="007A29F8">
        <w:tblPrEx>
          <w:jc w:val="center"/>
        </w:tblPrEx>
        <w:trPr>
          <w:gridBefore w:val="1"/>
          <w:wBefore w:w="108" w:type="dxa"/>
          <w:jc w:val="center"/>
        </w:trPr>
        <w:tc>
          <w:tcPr>
            <w:tcW w:w="98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B27D2C" w:rsidRDefault="002C1FD4" w:rsidP="007A29F8">
            <w:pPr>
              <w:suppressAutoHyphens/>
              <w:autoSpaceDN w:val="0"/>
              <w:textAlignment w:val="baseline"/>
              <w:outlineLvl w:val="2"/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lang w:val="uk-UA" w:bidi="en-US"/>
              </w:rPr>
            </w:pPr>
            <w:r w:rsidRPr="00B27D2C"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lang w:val="uk-UA" w:bidi="en-US"/>
              </w:rPr>
              <w:t>1. Інформація про суб'єкта господарювання</w:t>
            </w:r>
          </w:p>
        </w:tc>
      </w:tr>
      <w:tr w:rsidR="002C1FD4" w:rsidRPr="0075685C" w:rsidTr="007A29F8">
        <w:tblPrEx>
          <w:jc w:val="center"/>
        </w:tblPrEx>
        <w:trPr>
          <w:gridBefore w:val="1"/>
          <w:wBefore w:w="108" w:type="dxa"/>
          <w:jc w:val="center"/>
        </w:trPr>
        <w:tc>
          <w:tcPr>
            <w:tcW w:w="985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75685C" w:rsidRDefault="002044B4" w:rsidP="00A64D8A">
            <w:pPr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Andale Sans UI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568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Юридична адреса: </w:t>
            </w:r>
            <w:r w:rsidR="00FE5D39" w:rsidRPr="00FE5D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69091, м. Запоріжжя, </w:t>
            </w:r>
            <w:proofErr w:type="spellStart"/>
            <w:r w:rsidR="00FE5D39" w:rsidRPr="00FE5D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бул</w:t>
            </w:r>
            <w:proofErr w:type="spellEnd"/>
            <w:r w:rsidR="00FE5D39" w:rsidRPr="00FE5D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Шевченко, 71-а, кімната 901</w:t>
            </w:r>
          </w:p>
        </w:tc>
      </w:tr>
      <w:tr w:rsidR="002C1FD4" w:rsidRPr="0075685C" w:rsidTr="007A29F8">
        <w:tblPrEx>
          <w:jc w:val="center"/>
        </w:tblPrEx>
        <w:trPr>
          <w:gridBefore w:val="1"/>
          <w:wBefore w:w="108" w:type="dxa"/>
          <w:jc w:val="center"/>
        </w:trPr>
        <w:tc>
          <w:tcPr>
            <w:tcW w:w="985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B27D2C" w:rsidRDefault="002C1FD4" w:rsidP="007A29F8">
            <w:pPr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0"/>
                <w:szCs w:val="20"/>
                <w:lang w:val="uk-UA" w:bidi="en-US"/>
              </w:rPr>
            </w:pPr>
            <w:r w:rsidRPr="00B27D2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0"/>
                <w:szCs w:val="20"/>
                <w:lang w:val="uk-UA" w:bidi="en-US"/>
              </w:rPr>
              <w:t>(місцезнаходження юридичної особи або місце провадження діяльності фізичної</w:t>
            </w:r>
          </w:p>
        </w:tc>
      </w:tr>
      <w:tr w:rsidR="002C1FD4" w:rsidRPr="00DD3013" w:rsidTr="007A29F8">
        <w:tblPrEx>
          <w:jc w:val="center"/>
        </w:tblPrEx>
        <w:trPr>
          <w:gridBefore w:val="1"/>
          <w:wBefore w:w="108" w:type="dxa"/>
          <w:jc w:val="center"/>
        </w:trPr>
        <w:tc>
          <w:tcPr>
            <w:tcW w:w="985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9347E3" w:rsidRDefault="004662D1" w:rsidP="00FE5D39">
            <w:pPr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proofErr w:type="spellStart"/>
            <w:r w:rsidRPr="002F077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тел</w:t>
            </w:r>
            <w:proofErr w:type="spellEnd"/>
            <w:r w:rsidRPr="002F077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:+38-093-726-92-35 ;  e-</w:t>
            </w:r>
            <w:proofErr w:type="spellStart"/>
            <w:r w:rsidRPr="002F077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mail</w:t>
            </w:r>
            <w:proofErr w:type="spellEnd"/>
            <w:r w:rsidRPr="002F077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:</w:t>
            </w:r>
            <w:proofErr w:type="spellStart"/>
            <w:r w:rsidRPr="002F077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bidi="en-US"/>
              </w:rPr>
              <w:t>redko</w:t>
            </w:r>
            <w:proofErr w:type="spellEnd"/>
            <w:r w:rsidRPr="002F077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ru-RU" w:bidi="en-US"/>
              </w:rPr>
              <w:t>@</w:t>
            </w:r>
            <w:r w:rsidRPr="002F077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bidi="en-US"/>
              </w:rPr>
              <w:t>parallel</w:t>
            </w:r>
            <w:r w:rsidRPr="002F077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ru-RU" w:bidi="en-US"/>
              </w:rPr>
              <w:t>.</w:t>
            </w:r>
            <w:proofErr w:type="spellStart"/>
            <w:r w:rsidRPr="002F077C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bidi="en-US"/>
              </w:rPr>
              <w:t>ua</w:t>
            </w:r>
            <w:proofErr w:type="spellEnd"/>
            <w:r w:rsidRPr="00255695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</w:t>
            </w:r>
            <w:r w:rsidR="009347E3" w:rsidRPr="009347E3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</w:t>
            </w:r>
            <w:r w:rsidR="00FE5D39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</w:t>
            </w:r>
            <w:r w:rsidR="009347E3" w:rsidRPr="009347E3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   </w:t>
            </w:r>
          </w:p>
        </w:tc>
      </w:tr>
      <w:tr w:rsidR="002C1FD4" w:rsidRPr="00DD3013" w:rsidTr="000328BC">
        <w:trPr>
          <w:gridAfter w:val="1"/>
          <w:wAfter w:w="106" w:type="dxa"/>
        </w:trPr>
        <w:tc>
          <w:tcPr>
            <w:tcW w:w="98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FD4" w:rsidRPr="007B7CB4" w:rsidRDefault="002C1FD4" w:rsidP="007A2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0"/>
                <w:szCs w:val="20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0"/>
                <w:szCs w:val="20"/>
                <w:lang w:val="uk-UA" w:bidi="en-US"/>
              </w:rPr>
              <w:t>особи - підприємця (поштовий індекс, адреса), контактний номер телефону)</w:t>
            </w:r>
          </w:p>
          <w:p w:rsidR="002C1FD4" w:rsidRPr="007B7CB4" w:rsidRDefault="002C1FD4" w:rsidP="007A29F8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/>
                <w:b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</w:p>
          <w:p w:rsidR="002C1FD4" w:rsidRPr="007B7CB4" w:rsidRDefault="002C1FD4" w:rsidP="007A29F8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2. Планована діяльність, її характеристика, технічні альтернативи*</w:t>
            </w:r>
          </w:p>
          <w:p w:rsidR="00FE5D39" w:rsidRPr="007B7CB4" w:rsidRDefault="00EE52A2" w:rsidP="00C07EA2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   </w:t>
            </w:r>
            <w:r w:rsidR="004662D1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Планується реконструкція на території існуючої АЗС із встановленням стаціонарного заправника газу СЗГ-10 для відпуску суміші зрідженого вуглеводневого газу пропан-бутану, що  розташовано </w:t>
            </w:r>
            <w:r w:rsidR="00FE5D39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по </w:t>
            </w:r>
            <w:r w:rsidR="004662D1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вул. Дніпровська, 332 «</w:t>
            </w:r>
            <w:r w:rsidR="00181364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б</w:t>
            </w:r>
            <w:r w:rsidR="004662D1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»</w:t>
            </w:r>
            <w:r w:rsidR="00181364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, м. Павлоград  Дніпропетровської області</w:t>
            </w:r>
            <w:r w:rsidR="004662D1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.</w:t>
            </w:r>
            <w:r w:rsidR="00FE5D39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</w:t>
            </w:r>
          </w:p>
          <w:p w:rsidR="00FE5D39" w:rsidRPr="007B7CB4" w:rsidRDefault="00FE5D39" w:rsidP="00FE5D39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  На діючий АЗС відбувається приймання, зберігання та відпуск бензину різних марок та дизпалива. Режим роботи АЗС – цілодобовий (</w:t>
            </w:r>
            <w:r w:rsidR="00FC2048"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2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зміни по </w:t>
            </w:r>
            <w:r w:rsidR="004662D1"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12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годин).</w:t>
            </w:r>
          </w:p>
          <w:p w:rsidR="00FE5D39" w:rsidRPr="007B7CB4" w:rsidRDefault="00FE5D39" w:rsidP="00FC2048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   Реконструкція АЗС із встановленням </w:t>
            </w:r>
            <w:r w:rsidR="0068777C"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надземного резервуару</w:t>
            </w:r>
            <w:r w:rsidR="00FC2048"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для зберігання, закачування та перекачування </w:t>
            </w:r>
            <w:r w:rsidR="002A1174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ЗВГ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(ємністю 9,9 м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vertAlign w:val="superscript"/>
                <w:lang w:val="uk-UA" w:bidi="en-US"/>
              </w:rPr>
              <w:t>3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) з вузлом зливу </w:t>
            </w:r>
            <w:r w:rsidR="002A1174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ЗВГ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та ПРК. Заправка відбувається сумішшю (ЗВГ) зрідженого вуглеводневого газу (пропан 60% + бутан 40%).</w:t>
            </w:r>
          </w:p>
          <w:p w:rsidR="00FE5D39" w:rsidRPr="007B7CB4" w:rsidRDefault="00FE5D39" w:rsidP="00FE5D39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  Автомобільний газозаправний пункт АЗС обслуговуватиме до 200 автомобілів/добу з газобалонними двигунами. Обсяг реалізації газу на добу становить 5,0 м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vertAlign w:val="superscript"/>
                <w:lang w:val="uk-UA" w:bidi="en-US"/>
              </w:rPr>
              <w:t>3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(2,84 тон / добу), 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lastRenderedPageBreak/>
              <w:t>за рік 1750 м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vertAlign w:val="superscript"/>
                <w:lang w:val="uk-UA" w:bidi="en-US"/>
              </w:rPr>
              <w:t>3</w:t>
            </w:r>
            <w:r w:rsidRPr="007B7CB4">
              <w:rPr>
                <w:rFonts w:ascii="Times New Roman" w:eastAsia="Andale Sans UI" w:hAnsi="Times New Roman" w:cs="Tahoma"/>
                <w:bCs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(994 тон / рік).</w:t>
            </w:r>
          </w:p>
          <w:p w:rsidR="002C1FD4" w:rsidRPr="007B7CB4" w:rsidRDefault="00486ED4" w:rsidP="00FE5D39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u w:val="single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    </w:t>
            </w:r>
            <w:r w:rsidR="002C1FD4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u w:val="single"/>
                <w:lang w:val="uk-UA" w:bidi="en-US"/>
              </w:rPr>
              <w:t>Технічна альтернатива 1.</w:t>
            </w:r>
          </w:p>
          <w:p w:rsidR="00550051" w:rsidRPr="007B7CB4" w:rsidRDefault="00EA0D6C" w:rsidP="00AC016D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 </w:t>
            </w:r>
            <w:r w:rsidR="00AC016D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Встановлення наземного резервуару для зберігання ЗВГ. Перевагою наземних резервуарів є можливість зовнішнього контролю зварних з’єднань, можливість переміщувати або ж перевозити їх на будь-яке інше місце у разі неб</w:t>
            </w:r>
            <w:r w:rsidR="00550051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езпеки для них, а </w:t>
            </w:r>
            <w:r w:rsidR="00AC016D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також дозволить знизити загальну вартість обладнання і будівельних робіт</w:t>
            </w:r>
            <w:r w:rsidR="0032563F" w:rsidRPr="007B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051" w:rsidRPr="007B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1FD4" w:rsidRPr="007B7CB4" w:rsidRDefault="0032563F" w:rsidP="00AC016D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FD4"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Технічна альтернатива 2. </w:t>
            </w:r>
          </w:p>
          <w:p w:rsidR="00AC016D" w:rsidRPr="007B7CB4" w:rsidRDefault="00AC016D" w:rsidP="00AC016D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 Встановлення підземного резервуару для зберігання ЗВГ. </w:t>
            </w:r>
            <w:r w:rsidR="00950180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П</w:t>
            </w:r>
            <w:r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ере</w:t>
            </w:r>
            <w:r w:rsidR="00950180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влаштування</w:t>
            </w:r>
            <w:r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існуючих та прокладання нових підземних комунікацій. </w:t>
            </w:r>
          </w:p>
          <w:p w:rsidR="00750C1F" w:rsidRPr="007B7CB4" w:rsidRDefault="00750C1F" w:rsidP="00AC016D">
            <w:pPr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Технічна альтернатива 3.  </w:t>
            </w:r>
          </w:p>
          <w:p w:rsidR="00750C1F" w:rsidRPr="007B7CB4" w:rsidRDefault="0083619B" w:rsidP="00750C1F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imes New Roman"/>
                <w:b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</w:t>
            </w:r>
            <w:r w:rsidR="00750C1F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Заправлення автомобілів пересувною автозаправною станцією. Дана альтернатива потребує відведення спеціальних майданчиків</w:t>
            </w:r>
            <w:r w:rsidR="00950180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.</w:t>
            </w:r>
            <w:r w:rsidR="00750C1F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Також ПАЗС на території АЗС </w:t>
            </w:r>
            <w:r w:rsidR="00950180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буде </w:t>
            </w:r>
            <w:r w:rsidR="00750C1F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розміщувати поруч із заправними острівцями на одному з проїздів таким чином, щоб було забезпечено безпечний під’їзд автотранспорту для заправлення по протилежному проїзду який відноситься до цього острівця, що додатково вимагає відведення земельної ділянки.</w:t>
            </w:r>
            <w:r w:rsidR="001C600C" w:rsidRPr="007B7CB4">
              <w:rPr>
                <w:rFonts w:ascii="Times New Roman" w:eastAsia="Andale Sans UI" w:hAnsi="Times New Roman" w:cs="Times New Roman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</w:t>
            </w:r>
          </w:p>
          <w:p w:rsidR="002C1FD4" w:rsidRPr="007B7CB4" w:rsidRDefault="002C1FD4" w:rsidP="00EA0D6C">
            <w:pPr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B7C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3. Місце провадження планованої діяльності, територіальні альтернативи:</w:t>
            </w:r>
          </w:p>
          <w:p w:rsidR="00950180" w:rsidRPr="007B7CB4" w:rsidRDefault="00950180" w:rsidP="005443ED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Місце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провадження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планованої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діяльності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територіальна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альтернатива</w:t>
            </w:r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 </w:t>
            </w:r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1.</w:t>
            </w:r>
          </w:p>
          <w:p w:rsidR="00950180" w:rsidRPr="007B7CB4" w:rsidRDefault="00950180" w:rsidP="005443ED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Times New Roman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ТОВ «ПАРАЛЛЕЛЬ-М ЛТД» згідно виданого договору оренди від 28.05.2021р. на площу 0,3000га за кадастровим номером: 1212400000:03:001:0086 та  цільовим призначення земельної ділянки 03.07 - для будівництва та обслуговування будівель торгівлі, планує реконструкцію існуючої  АЗС з встановленням стаціонарного газового заправника за адресою: вул. Дніпровська, 332 б, м. Павлоград  Дніпропетровської області.</w:t>
            </w:r>
          </w:p>
          <w:p w:rsidR="00950180" w:rsidRPr="007B7CB4" w:rsidRDefault="00950180" w:rsidP="0095018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Місце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провадження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планованої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діяльності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  <w:proofErr w:type="spellStart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територіальна</w:t>
            </w:r>
            <w:proofErr w:type="spellEnd"/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альтернатива</w:t>
            </w:r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 </w:t>
            </w:r>
            <w:r w:rsidRPr="007B7CB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2.</w:t>
            </w:r>
          </w:p>
          <w:p w:rsidR="00950180" w:rsidRPr="007B7CB4" w:rsidRDefault="005443ED" w:rsidP="005443E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</w:t>
            </w:r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розглядається</w:t>
            </w:r>
            <w:proofErr w:type="spellEnd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Планована</w:t>
            </w:r>
            <w:proofErr w:type="spellEnd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діяльність</w:t>
            </w:r>
            <w:proofErr w:type="spellEnd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здійснюватися</w:t>
            </w:r>
            <w:proofErr w:type="spellEnd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 межах </w:t>
            </w:r>
            <w:proofErr w:type="spellStart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існуючого</w:t>
            </w:r>
            <w:proofErr w:type="spellEnd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землевідводу</w:t>
            </w:r>
            <w:proofErr w:type="spellEnd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Додатковий</w:t>
            </w:r>
            <w:proofErr w:type="spellEnd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землевідвід</w:t>
            </w:r>
            <w:proofErr w:type="spellEnd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передбачається</w:t>
            </w:r>
            <w:proofErr w:type="spellEnd"/>
            <w:r w:rsidR="00950180" w:rsidRPr="007B7C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2C1FD4" w:rsidRPr="007B7CB4" w:rsidRDefault="002C1FD4" w:rsidP="00715531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4. Соціально-економічний вплив планованої діяльності.</w:t>
            </w:r>
          </w:p>
          <w:p w:rsidR="00995C43" w:rsidRPr="007B7CB4" w:rsidRDefault="00995C43" w:rsidP="007A29F8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 w:rsidR="00646BB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Позитивний соціально-економічний вплив планованої діяльності обумовлений наданням послуг по заправці автомобілів якісним пальним, збільшенням надходжень у місцевий та державний бюджет при дотриманні екологічних та санітарно-гігієнічних нормативів. </w:t>
            </w:r>
            <w:r w:rsidR="002A1174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Зріджений вуглеводний газ пропан-бутану </w:t>
            </w:r>
            <w:r w:rsidR="00646BB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2A1174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ЗВГ</w:t>
            </w:r>
            <w:r w:rsidR="00646BB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), у порівнянні з бензином та дизпаливом, є більш економічним та екологічно чистим видом палива, як з точки зору процесу заправлення автомобілів, так і при його спалюванні в автомобільних двигунах. Тому влаштування заправного пункту </w:t>
            </w:r>
            <w:r w:rsidR="002A1174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ЗВГ</w:t>
            </w:r>
            <w:r w:rsidR="00646BB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буде сприяти покращенню екологічного стану довкілля за рахунок зменшення попиту на використання автотранспортом рідкого моторного палива.</w:t>
            </w:r>
          </w:p>
          <w:p w:rsidR="002C1FD4" w:rsidRPr="007B7CB4" w:rsidRDefault="002C1FD4" w:rsidP="007A29F8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  </w:t>
            </w: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5. Загальні технічні характеристики, у тому числі параметри планованої діяльності (потужність, довжина, площа, обсяг виробництва тощо)</w:t>
            </w:r>
          </w:p>
          <w:p w:rsidR="00C8777B" w:rsidRPr="007B7CB4" w:rsidRDefault="00995C43" w:rsidP="00621481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</w:t>
            </w:r>
            <w:r w:rsidR="0081179D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Реконструкція діючої автозаправної станції полягає в розміщенні на території устаткування для заправки автомобілів </w:t>
            </w:r>
            <w:r w:rsidR="00E936A6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зрідженим вуглеводним газом пропан-бутан</w:t>
            </w:r>
            <w:r w:rsidR="0081179D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621481" w:rsidRPr="007B7CB4" w:rsidRDefault="00621481" w:rsidP="00621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Техніко-економічні характеристики автомобільного стаціонарного заправника газу СЗГ-</w:t>
            </w:r>
            <w:r w:rsidR="00571CB1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Б10-У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 який встановлюється на діючий АЗС наведені нижче:</w:t>
            </w:r>
          </w:p>
          <w:tbl>
            <w:tblPr>
              <w:tblW w:w="0" w:type="auto"/>
              <w:tblInd w:w="36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5872"/>
              <w:gridCol w:w="2778"/>
            </w:tblGrid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Найменування параметра і розміру одиниці фізичної величини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Норма для виконання</w:t>
                  </w:r>
                </w:p>
              </w:tc>
            </w:tr>
            <w:tr w:rsidR="00621481" w:rsidRPr="00DD3013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 Показники функціональної і технічної ефективності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1.1 Продуктивність ССО, заправок на добу, не менше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200</w:t>
                  </w:r>
                </w:p>
              </w:tc>
            </w:tr>
            <w:tr w:rsidR="00621481" w:rsidRPr="007B7CB4" w:rsidTr="00DD3013">
              <w:trPr>
                <w:trHeight w:val="660"/>
              </w:trPr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1.2 Максимальний надлишковий тиск у ВЗГ, </w:t>
                  </w:r>
                  <w:proofErr w:type="spellStart"/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МПа</w:t>
                  </w:r>
                  <w:proofErr w:type="spellEnd"/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(кгс / см</w:t>
                  </w: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1,5</w:t>
                  </w:r>
                  <w:r w:rsidR="00571CB1"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6(15,6)</w:t>
                  </w: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lastRenderedPageBreak/>
                    <w:t>1.3 Обсяг комерційний ЗВГ для резервуарів, м</w:t>
                  </w: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  <w:lang w:val="uk-UA"/>
                    </w:rPr>
                    <w:t>3</w:t>
                  </w: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, не більше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8,415</w:t>
                  </w:r>
                </w:p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1.4 Кількість обслуговуючого персоналу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A32B2C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11</w:t>
                  </w: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1.5 Кількість </w:t>
                  </w:r>
                  <w:proofErr w:type="spellStart"/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паливороздавальних</w:t>
                  </w:r>
                  <w:proofErr w:type="spellEnd"/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колонок, шт., не менше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</w:t>
                  </w:r>
                </w:p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1.6 Кількість насосів, шт., не більше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1.7 Час заправки автомобілів при розрахунковому обсязі заправки 40дм3 (з урахуванням часу підключення і відключення), хв., не більше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6</w:t>
                  </w:r>
                </w:p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1.8 Час наповнення резервуара, год., не більше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1.9 Напруга живлення, В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220/380</w:t>
                  </w: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1.10 Максимальні витрати ЗВГ (максимальна продуктивність заправки ЗВГ), дм3 / хв.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571CB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45</w:t>
                  </w:r>
                </w:p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1.11 Маса обладнання СЗГ з урахуванням шафи автоматики, кг, не більш,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3200</w:t>
                  </w:r>
                </w:p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DD3013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1.12 Габаритні розміри СЗГ, мм, не більше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- довжина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571CB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7570</w:t>
                  </w: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- ширина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1785</w:t>
                  </w:r>
                </w:p>
              </w:tc>
            </w:tr>
            <w:tr w:rsidR="00621481" w:rsidRPr="007B7CB4" w:rsidTr="00DD3013">
              <w:trPr>
                <w:trHeight w:val="381"/>
              </w:trPr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- висота (з урахуванням свічки)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571CB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3015</w:t>
                  </w: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- висота (без урахування свічки)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571CB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2</w:t>
                  </w:r>
                  <w:r w:rsidR="00571CB1"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015</w:t>
                  </w: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1.13 Параметри резервуара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1.14.1 Тиск, </w:t>
                  </w:r>
                  <w:proofErr w:type="spellStart"/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МПа</w:t>
                  </w:r>
                  <w:proofErr w:type="spellEnd"/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: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- Робочий тиск </w:t>
                  </w:r>
                  <w:proofErr w:type="spellStart"/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макс</w:t>
                  </w:r>
                  <w:proofErr w:type="spellEnd"/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1,56</w:t>
                  </w:r>
                </w:p>
              </w:tc>
            </w:tr>
            <w:tr w:rsidR="00621481" w:rsidRPr="007B7CB4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- Пробний тиск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2,0</w:t>
                  </w:r>
                </w:p>
              </w:tc>
            </w:tr>
            <w:tr w:rsidR="00621481" w:rsidRPr="00DD3013" w:rsidTr="00DD3013"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1.14.2 Робоча середа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газ вуглеводневий скраплений</w:t>
                  </w:r>
                </w:p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по ГОСТ 27578</w:t>
                  </w:r>
                </w:p>
              </w:tc>
            </w:tr>
            <w:tr w:rsidR="00621481" w:rsidRPr="00DD3013" w:rsidTr="00DD3013">
              <w:trPr>
                <w:trHeight w:val="353"/>
              </w:trPr>
              <w:tc>
                <w:tcPr>
                  <w:tcW w:w="5872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1.14.3 Категорія вибухонебезпечної суміші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21481" w:rsidRPr="007B7CB4" w:rsidRDefault="00621481" w:rsidP="00C82D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А по ГОСТ 12.1.011</w:t>
                  </w:r>
                </w:p>
              </w:tc>
            </w:tr>
          </w:tbl>
          <w:p w:rsidR="00132FA2" w:rsidRPr="007B7CB4" w:rsidRDefault="00980E6C" w:rsidP="00132FA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</w:t>
            </w:r>
            <w:r w:rsidR="00132FA2" w:rsidRPr="007B7C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Зовнішнє пожежогасіння на майданчику буде здійснюватися пересувним автотранспортом від двох існуючих пожежних гідрантів, розташованих в радіусі 200м від АЗС.</w:t>
            </w:r>
          </w:p>
          <w:p w:rsidR="00535C1C" w:rsidRPr="007B7CB4" w:rsidRDefault="00132FA2" w:rsidP="00980E6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</w:t>
            </w:r>
            <w:r w:rsidR="00980E6C"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Інженерне забезпечення на об’єкті існуюче:</w:t>
            </w:r>
          </w:p>
          <w:p w:rsidR="00535C1C" w:rsidRPr="007B7CB4" w:rsidRDefault="00535C1C" w:rsidP="00980E6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Е</w:t>
            </w:r>
            <w:r w:rsidR="00980E6C"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лектропостачання – в межах існуючої дозволеної приєднаної потужності згідно підписаного договору з</w:t>
            </w:r>
            <w:r w:rsidR="00980E6C" w:rsidRPr="007B7CB4">
              <w:rPr>
                <w:b/>
                <w:lang w:val="uk-UA"/>
              </w:rPr>
              <w:t xml:space="preserve"> </w:t>
            </w:r>
            <w:r w:rsidR="00980E6C"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ТОВ «Донецькі енергетичні послуги» за</w:t>
            </w:r>
            <w:r w:rsidR="00980E6C" w:rsidRPr="007B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80E6C"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  <w:r w:rsidR="004563A6"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100д від 01.09.2020</w:t>
            </w:r>
            <w:r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р.;</w:t>
            </w:r>
          </w:p>
          <w:p w:rsidR="00980E6C" w:rsidRPr="007B7CB4" w:rsidRDefault="00535C1C" w:rsidP="00980E6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В</w:t>
            </w:r>
            <w:r w:rsidR="00980E6C"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одопостачання і водовідведення існуюче згідно підписаного договору з </w:t>
            </w:r>
            <w:proofErr w:type="spellStart"/>
            <w:r w:rsidR="004563A6"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ПРАТ</w:t>
            </w:r>
            <w:proofErr w:type="spellEnd"/>
            <w:r w:rsidR="004563A6"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"ДТЕК ПАВЛОГРАДВУГІЛЛЯ"</w:t>
            </w:r>
            <w:r w:rsidR="00980E6C"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за №</w:t>
            </w:r>
            <w:r w:rsidR="004563A6" w:rsidRPr="007B7CB4">
              <w:rPr>
                <w:b/>
                <w:lang w:val="uk-UA"/>
              </w:rPr>
              <w:t xml:space="preserve"> </w:t>
            </w:r>
            <w:r w:rsidR="004563A6" w:rsidRPr="007B7C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405-ПУ-ПРУВОКС від 01.03.2018р.</w:t>
            </w:r>
          </w:p>
          <w:p w:rsidR="002C1FD4" w:rsidRPr="007B7CB4" w:rsidRDefault="00980E6C" w:rsidP="00980E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   Установка газового модуля на території діючої АЗС планується в одну чергу, одним пусковим комплексом.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cr/>
            </w:r>
            <w:r w:rsidR="002C1FD4" w:rsidRPr="007B7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6. Екологічні та інші обмеження планованої діяльності за альтернативами:</w:t>
            </w:r>
          </w:p>
          <w:p w:rsidR="005548F6" w:rsidRPr="007B7CB4" w:rsidRDefault="005548F6" w:rsidP="005548F6">
            <w:pPr>
              <w:tabs>
                <w:tab w:val="left" w:pos="1164"/>
              </w:tabs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щодо технічної альтернативи 1</w:t>
            </w:r>
          </w:p>
          <w:p w:rsidR="00EA0D6C" w:rsidRPr="007B7CB4" w:rsidRDefault="00EA0D6C" w:rsidP="00EA0D6C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Екологічні обмеження планованої діяльності:</w:t>
            </w:r>
          </w:p>
          <w:p w:rsidR="007D0E96" w:rsidRPr="007B7CB4" w:rsidRDefault="007D0E96" w:rsidP="007D0E96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Підприємство відноситься до об’єктів, для яких екологічні, санітарно-епідеміологічні,</w:t>
            </w:r>
            <w:r w:rsidR="005E0361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протипожежні та інші обмеження приведені в діючих державних екологічних нормативних документах, будівельних, санітарних і протипожежних нормах.</w:t>
            </w:r>
          </w:p>
          <w:p w:rsidR="00FE5007" w:rsidRPr="007B7CB4" w:rsidRDefault="007D0E96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Екологічні о</w:t>
            </w:r>
            <w:r w:rsidR="00FE5007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бмеження планованої діяльності: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при експлуатації об’єкта дотримуватись нормативів чинного природоохоронного законодавства;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викиди від стаціонарних джерел викидів повинні здійснюватися при наявності Дозволу на викиди забруднюючих речовин в атмосферне повітря (у відповідності з його умовами) та не перевищувати граничнодопустимих нормативів;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відходи, що утворюються на підприємстві в процесі виробничої діяльності, повинні передаватись іншим організаціям, згідно попередньо укладених договорів, для подальшого зберігання, оброблення, утилізації, знешкодження, захоронення, видалення;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виконання вимог щодо раціонального використання природних ресурсів.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Санітарно-гігієнічні обмеження: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експлуатацію об’єкта здійснювати згідно з чинними нормативними санітарно-гігієнічними нормами та правилами;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дотримання вимог до організації санітарно-захисної зони відповідно до Державних санітарних правил планування та забудови населених пунктів (ДСП 173-96);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рівень акустичного забруднення не повинен перевищувати нормативів шумового забруднення та вібрації на межі встановленої СЗЗ.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Інші обмеження: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дотримання правил пожежної безпеки.</w:t>
            </w:r>
          </w:p>
          <w:p w:rsidR="00FE5007" w:rsidRPr="007B7CB4" w:rsidRDefault="00FE5007" w:rsidP="00FE5007">
            <w:pPr>
              <w:tabs>
                <w:tab w:val="left" w:pos="1164"/>
              </w:tabs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Замовник бере на себе зобов’язання виконувати всі умови щодо експлуатації об’єкту діяльності, а також ресурсозберігаючі, охоронні, захисні та інші заходи щодо умов безпечної експлуатації обладнання, дотримання вимог природоохоронного та санітарного законодавства. При цьому вплив на навколишнє середовище мінімальний і не потребує додаткових екологічних обмежень.</w:t>
            </w:r>
          </w:p>
          <w:p w:rsidR="00EA0D6C" w:rsidRPr="007B7CB4" w:rsidRDefault="00EA0D6C" w:rsidP="00EA0D6C">
            <w:pPr>
              <w:tabs>
                <w:tab w:val="left" w:pos="1164"/>
              </w:tabs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щодо технічної альтернативи </w:t>
            </w:r>
            <w:r w:rsidR="005548F6" w:rsidRPr="007B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</w:t>
            </w:r>
          </w:p>
          <w:p w:rsidR="00EA0D6C" w:rsidRPr="007B7CB4" w:rsidRDefault="00640A97" w:rsidP="00EA0D6C">
            <w:pPr>
              <w:tabs>
                <w:tab w:val="left" w:pos="1164"/>
              </w:tabs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="00EA0D6C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Екологічні та інші обмеження </w:t>
            </w:r>
            <w:r w:rsidR="00621FDE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технічної альтернативи </w:t>
            </w:r>
            <w:r w:rsidR="005548F6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621FDE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A0D6C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аналогічні з обмеженнями  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 </w:t>
            </w:r>
            <w:r w:rsidR="005548F6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технічною альтернативою 1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окрім </w:t>
            </w:r>
            <w:r w:rsidR="0095018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порушення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ґрунт</w:t>
            </w:r>
            <w:r w:rsidR="0095018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ів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в </w:t>
            </w:r>
            <w:r w:rsidR="0095018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 на підземні горизонти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3619B" w:rsidRPr="007B7CB4" w:rsidRDefault="0083619B" w:rsidP="0083619B">
            <w:pPr>
              <w:tabs>
                <w:tab w:val="left" w:pos="1164"/>
              </w:tabs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щодо технічної альтернативи </w:t>
            </w:r>
            <w:r w:rsidR="00535C1C" w:rsidRPr="007B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535C1C" w:rsidRPr="007B7CB4" w:rsidRDefault="00535C1C" w:rsidP="00535C1C">
            <w:pPr>
              <w:tabs>
                <w:tab w:val="left" w:pos="1164"/>
              </w:tabs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Екологічні та інші обмеження технічної альтернативи 3 аналогічні з </w:t>
            </w:r>
            <w:r w:rsidR="0095018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технічною альтернативою 1 окрім збільшення ємності очисних споруд у місцях відстою автозаправного транспорту.</w:t>
            </w:r>
          </w:p>
          <w:p w:rsidR="002C1FD4" w:rsidRPr="007B7CB4" w:rsidRDefault="00B27D2C" w:rsidP="007A29F8">
            <w:pPr>
              <w:tabs>
                <w:tab w:val="left" w:pos="1164"/>
              </w:tabs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C1FD4" w:rsidRPr="007B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щодо територіальної альтернативи 1</w:t>
            </w:r>
          </w:p>
          <w:p w:rsidR="007D0E96" w:rsidRPr="007B7CB4" w:rsidRDefault="007D0E96" w:rsidP="007D0E96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• містобудівні умови та обмеження;</w:t>
            </w:r>
          </w:p>
          <w:p w:rsidR="007D0E96" w:rsidRPr="007B7CB4" w:rsidRDefault="007D0E96" w:rsidP="007D0E96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• розмір санітарно-захисної зони;</w:t>
            </w:r>
          </w:p>
          <w:p w:rsidR="007D0E96" w:rsidRPr="007B7CB4" w:rsidRDefault="007D0E96" w:rsidP="007D0E96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• протипожежні розриви між будівлями та спорудами.</w:t>
            </w:r>
          </w:p>
          <w:p w:rsidR="007D0E96" w:rsidRPr="007B7CB4" w:rsidRDefault="007D0E96" w:rsidP="007D0E96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Відстань до найближчої житлової забудови повинна відповідати ДСП 173-96 «Про затвердження Державних санітарних правил планування та забудови населених пунктів». Згідно з п. 5.32 ДСП 173-96 санітарно-захисна зона для </w:t>
            </w:r>
            <w:proofErr w:type="spellStart"/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АЗК</w:t>
            </w:r>
            <w:proofErr w:type="spellEnd"/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приймається за розрахунком забруднення атмосферного повітря, але не менше 50 м.</w:t>
            </w:r>
          </w:p>
          <w:p w:rsidR="002C1FD4" w:rsidRPr="007B7CB4" w:rsidRDefault="002C1FD4" w:rsidP="007D0E96">
            <w:pPr>
              <w:suppressAutoHyphens/>
              <w:autoSpaceDN w:val="0"/>
              <w:spacing w:after="0" w:line="240" w:lineRule="auto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щодо територіальної альтернативи 2</w:t>
            </w:r>
          </w:p>
          <w:p w:rsidR="00584CCB" w:rsidRPr="007B7CB4" w:rsidRDefault="00584CCB" w:rsidP="00584CCB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B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Не розглядається. </w:t>
            </w:r>
            <w:r w:rsidR="00811655" w:rsidRPr="007B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="0083619B" w:rsidRPr="007B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ив</w:t>
            </w:r>
            <w:r w:rsidR="00950180" w:rsidRPr="007B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83619B" w:rsidRPr="007B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пункт 3</w:t>
            </w:r>
            <w:r w:rsidR="00811655" w:rsidRPr="007B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D875A1" w:rsidRPr="007B7CB4" w:rsidRDefault="002C1FD4" w:rsidP="00D875A1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7.Необхідна </w:t>
            </w:r>
            <w:proofErr w:type="spellStart"/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еколого-інженерна</w:t>
            </w:r>
            <w:proofErr w:type="spellEnd"/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підготовка і захист території за альтернативами:</w:t>
            </w:r>
          </w:p>
          <w:p w:rsidR="00811655" w:rsidRPr="007B7CB4" w:rsidRDefault="00811655" w:rsidP="00811655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lastRenderedPageBreak/>
              <w:t>щодо технічної альтернативи 1</w:t>
            </w:r>
          </w:p>
          <w:p w:rsidR="00EA0D6C" w:rsidRPr="007B7CB4" w:rsidRDefault="00EA0D6C" w:rsidP="00640A97">
            <w:pPr>
              <w:suppressAutoHyphens/>
              <w:autoSpaceDN w:val="0"/>
              <w:spacing w:after="0" w:line="240" w:lineRule="auto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Інженерна підготовка території включає планування майданчику для розміщення надземного резервуару для зберігання ЗВГ. Проектні рішення в період будівництва (реконструкції) та експлуатації забезпечують раціональне використання ґрунту, передбачають заходи протидії підтопленню (вертикальне планування території з відведенням поверхневих вод), просіданню (влаштування під спорудами екранів із ущільненого ґрунту, якісне</w:t>
            </w:r>
            <w:r w:rsidR="00640A97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</w:t>
            </w:r>
            <w:r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ущільнення зворотної засипки пазух котлованів і траншей). </w:t>
            </w:r>
          </w:p>
          <w:p w:rsidR="00285E17" w:rsidRPr="007B7CB4" w:rsidRDefault="00B27D2C" w:rsidP="00621481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    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щодо технічної альтернативи 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2</w:t>
            </w:r>
          </w:p>
          <w:p w:rsidR="00EA0D6C" w:rsidRPr="007B7CB4" w:rsidRDefault="005548F6" w:rsidP="00811655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   </w:t>
            </w:r>
            <w:r w:rsidR="00EA0D6C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Інженерна підготовка території включає планування майданчику для розміщення підземного резервуару для зберігання ЗВГ. Необхідна </w:t>
            </w:r>
            <w:proofErr w:type="spellStart"/>
            <w:r w:rsidR="00EA0D6C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еколого-інженерна</w:t>
            </w:r>
            <w:proofErr w:type="spellEnd"/>
            <w:r w:rsidR="00EA0D6C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підготовка потребує виїмки ґрунту при влаштуванні котловану для розміщення підземного резервуару для зберігання ЗВГ. 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Передбачити гідроізоляцію і </w:t>
            </w:r>
            <w:r w:rsidR="0095018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заходи щодо 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зсувн</w:t>
            </w:r>
            <w:r w:rsidR="0095018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их явищ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EA0D6C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Вийнятий ґрунт буде використаний для зворотної засипки траншей, котловани зворотно засипаються піщаним ґрунтом та щебенем. Проектні рішення в період будівництва (реконструкції) та експлуатації будуть забезпечувати раціональне використання ґрунту, а також будуть передбачені захисні та компенсаційні заходи.</w:t>
            </w:r>
          </w:p>
          <w:p w:rsidR="00065D74" w:rsidRPr="007B7CB4" w:rsidRDefault="00065D74" w:rsidP="00EA0D6C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Щодо технічної альтернативи</w:t>
            </w:r>
            <w:r w:rsidR="001C722F"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3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.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85E17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83619B" w:rsidRPr="007B7CB4" w:rsidRDefault="00640A97" w:rsidP="00584CCB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  <w:r w:rsidR="00584CCB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Необхідна </w:t>
            </w:r>
            <w:proofErr w:type="spellStart"/>
            <w:r w:rsidR="00584CCB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еколого-інженерна</w:t>
            </w:r>
            <w:proofErr w:type="spellEnd"/>
            <w:r w:rsidR="00584CCB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підготовка і захист території технічної альтернативи 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584CCB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аналогічні з </w:t>
            </w:r>
            <w:r w:rsidR="0095018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технічною альтернативою 1, окрім влаштування ємності очисних споруд у місцях відстою автозаправного транспорту.</w:t>
            </w:r>
          </w:p>
          <w:p w:rsidR="00486ED4" w:rsidRPr="007B7CB4" w:rsidRDefault="0083619B" w:rsidP="00584CCB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805F70"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щодо територіальної альтернативи 1</w:t>
            </w:r>
          </w:p>
          <w:p w:rsidR="00A91B34" w:rsidRPr="007B7CB4" w:rsidRDefault="005F3E5A" w:rsidP="005F3E5A">
            <w:pPr>
              <w:suppressAutoHyphens/>
              <w:autoSpaceDN w:val="0"/>
              <w:spacing w:after="0" w:line="240" w:lineRule="auto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Територія АЗС упорядкована та має достатній рівень інженерного забезпечення для дотримання нормальних умов функціонування: наявне освітлення в темний час доби; виконані під’їзди та майданчики з твердим покриттям, а також </w:t>
            </w:r>
            <w:r w:rsidR="0083619B"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забезпечення</w:t>
            </w:r>
            <w:r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="0083619B"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</w:t>
            </w:r>
            <w:r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</w:t>
            </w:r>
            <w:r w:rsidR="0083619B"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</w:t>
            </w:r>
            <w:r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</w:t>
            </w:r>
            <w:r w:rsidR="0083619B"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і</w:t>
            </w:r>
            <w:r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</w:t>
            </w:r>
            <w:r w:rsidR="00950180"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</w:t>
            </w:r>
            <w:r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е</w:t>
            </w:r>
            <w:r w:rsidR="00950180"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де</w:t>
            </w:r>
            <w:r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ння</w:t>
            </w:r>
            <w:r w:rsidR="00950180"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05F70" w:rsidRPr="007B7CB4" w:rsidRDefault="00805F70" w:rsidP="00805F70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щодо територіальної альтернативи 2</w:t>
            </w:r>
          </w:p>
          <w:p w:rsidR="00584CCB" w:rsidRPr="007B7CB4" w:rsidRDefault="00584CCB" w:rsidP="007A29F8">
            <w:pPr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 розглядається. 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Див</w:t>
            </w:r>
            <w:r w:rsidR="0095018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3619B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пункт 3</w:t>
            </w:r>
            <w:r w:rsidR="00EA0D6C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2C1FD4" w:rsidRPr="007B7CB4" w:rsidRDefault="002C1FD4" w:rsidP="007A29F8">
            <w:pPr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8.Сфера, джерела та види можливого впливу на довкілля:</w:t>
            </w:r>
          </w:p>
          <w:p w:rsidR="00811655" w:rsidRPr="007B7CB4" w:rsidRDefault="00811655" w:rsidP="00811655">
            <w:pPr>
              <w:suppressAutoHyphens/>
              <w:autoSpaceDN w:val="0"/>
              <w:spacing w:after="0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Щодо технічної альтернативи 1.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Водне середовище: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період будівництва та експлуатації: утворення господарських, побутових та зливових стоків. Існуючі системи водопостачання і каналізації забезпечують діючу АЗС водою і здійснюють відведення стічних вод АЗС. Поверхневі і підземні води на стадії будівництва впливу не піддаються.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Скидання стічних вод у водні об'єкти не передбачається. Потенційних джерел забруднення підземних та поверхневих вод від планованої діяльності не передбачається.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Геологічне середовище: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вплив </w:t>
            </w:r>
            <w:r w:rsidR="00950180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опосередкований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Клімат і мікроклімат: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негативний вплив не передбачається. АЗС не є об’єктом, якому притаманні значні виділення теплоти, вологи, парникових газів та викидів, що здатні вплинути на клімат в цілому і на мікроклімат прилеглої до АЗС місцевості. Викиди парникових газів відбуваються тільки під час роботи двигунів внутрішнього згоряння автотранспорту під час заїзду і виїзду з території АЗС.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Атмосферне повітря: 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 час будівництва: короткочасний незначний вплив за рахунок викидів забруднюючих речовин при роботі спеціалізованої техніки рівень якого не перевищуватиме ГДК на межі санітарно-захисної зони;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 час експлуатації: допустимий вплив. Джерелами утворення забруднюючих речовин при експлуатації об’єкта будуть: технологічне обладнання АЗС (дихальні клапани резервуарів для зберігання нафтопродуктів, заправний майданчик (</w:t>
            </w:r>
            <w:proofErr w:type="spellStart"/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паливороздавальні</w:t>
            </w:r>
            <w:proofErr w:type="spellEnd"/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колонки); технологічні процеси проектованого газового модуля;аварійне джерело електропостачання; автотранспорт (заїзд та виїзд з території АЗС) та інше.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Акустичне середовище: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 проведенні будівельно-монтажних робіт та діяльності об’єкту буде здійснюватись незначний акустичний вплив в межах допустимих значень.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Утворення відходів: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результаті виробничої діяльності утворюються відпрацьовані лампи, промаслені пісок 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та ганчір’я, тверді побутові відходи, спецодяг зношений, спецвзуття зношене та інше. На АЗС передбачене роздільне збирання ТПВ.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Всі категорії відходів тимчасово зберігаються у закритих контейнерах на окремому майданчику видалення відходів та передаються на утилізацію та захоронення відповідним комунальним установам згідно договорів.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Рослинний і тваринний світ та об’єкти природно-заповідного фонду: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під час виконання підготовчих та будівельно-монтажних робіт вплив на рослинний та тваринний світ – незначний, практично відсутній. Передбачувана діяльність не матиме негативного впливу на рослинний і тваринний світ, їх популяції та міграції. Території ПЗФ (вищого та нижчих рангів) у межах </w:t>
            </w:r>
            <w:proofErr w:type="spellStart"/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проммайданчика</w:t>
            </w:r>
            <w:proofErr w:type="spellEnd"/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його санітарно-захисної зони відсутні.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Соціальне середовище: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створення інфраструктури для автовласників. Негативний вплив не передбачається. Вплив діяльності об’єкта на здоров’я населення оцінюється, як прийнятний. 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Техногенне середовище: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негативний вплив на промислові, житлово-цивільні і сільськогосподарські об’єкти, наземні та підземні споруди, соціальну організацію території, пам’ятки культури, архітектури, історії та інші елементи техногенного середовища під час будівництва та експлуатації проектованого об’єкта відсутній.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Ґрунт: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період будівництва: незначним джерелом забруднення може стати будівельне сміття та паливно-мастильні матеріали від роботи механізмів. 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метою запобігання негативного впливу на ґрунт проектом передбачається оснащення площадки контейнерами для побутових і будівельних відходів і вивезення їх на полігон побутових відходів.</w:t>
            </w:r>
          </w:p>
          <w:p w:rsidR="00EA0D6C" w:rsidRPr="007B7CB4" w:rsidRDefault="00EA0D6C" w:rsidP="00EA0D6C">
            <w:pPr>
              <w:suppressAutoHyphens/>
              <w:autoSpaceDN w:val="0"/>
              <w:spacing w:after="0" w:line="240" w:lineRule="auto"/>
              <w:ind w:firstLine="392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 експлуатації: можливий вплив від розливу нафтопродуктів у випадку аварії. При нормальній експлуатації об’єкту вплив не передбачається.</w:t>
            </w:r>
          </w:p>
          <w:p w:rsidR="00A4419D" w:rsidRPr="007B7CB4" w:rsidRDefault="00A4419D" w:rsidP="00A4419D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Щодо технічної альтернативи 2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6F08" w:rsidRPr="007B7CB4" w:rsidRDefault="00811655" w:rsidP="007A29F8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  <w:r w:rsidR="00326F08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Джерела та види можливого в</w:t>
            </w:r>
            <w:r w:rsidR="00EA0D6C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пливу на довкілля технічної альтернативи 2 співпадають з 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технічною альтернативою 1</w:t>
            </w:r>
            <w:r w:rsidR="0083619B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окрім заходів щодо гідроізоляції та попередження забруднення поверхневих вод 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3619B" w:rsidRPr="007B7CB4" w:rsidRDefault="0083619B" w:rsidP="0083619B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Щодо технічної альтернативи 3</w:t>
            </w: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83619B" w:rsidRPr="007B7CB4" w:rsidRDefault="00811655" w:rsidP="007A29F8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Джерела та види можливого впливу на довкілля технічної альтернативи 3 співпада</w:t>
            </w:r>
            <w:r w:rsidR="00963319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ють з технічною альтернативою 1, окрім збільшення обсягу водовідведення у місцях відстою автозаправного транспорту.</w:t>
            </w:r>
          </w:p>
          <w:p w:rsidR="00486ED4" w:rsidRPr="007B7CB4" w:rsidRDefault="007843C4" w:rsidP="007A29F8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Що</w:t>
            </w:r>
            <w:r w:rsidR="00C1075D"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до територіальної альтернативи 1</w:t>
            </w:r>
          </w:p>
          <w:p w:rsidR="00326F08" w:rsidRPr="007B7CB4" w:rsidRDefault="00093C8C" w:rsidP="00326F08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 w:rsidR="00326F08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Санітарно-захисна зона для даного об’єкту становить 50 м, та витримується по відношенню до житлово-громадської забудови. Викиди від планованої діяльності, рівні шуму,вібрації, ультразвуку, електромагнітних та іонізуючих випромінювань на межі СЗЗ не</w:t>
            </w:r>
          </w:p>
          <w:p w:rsidR="00326F08" w:rsidRPr="007B7CB4" w:rsidRDefault="00326F08" w:rsidP="00326F08">
            <w:pPr>
              <w:suppressAutoHyphens/>
              <w:autoSpaceDN w:val="0"/>
              <w:spacing w:after="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перевищують гігієнічні нормативи.</w:t>
            </w:r>
          </w:p>
          <w:p w:rsidR="00326F08" w:rsidRPr="007B7CB4" w:rsidRDefault="00326F08" w:rsidP="00326F08">
            <w:pPr>
              <w:suppressAutoHyphens/>
              <w:autoSpaceDN w:val="0"/>
              <w:spacing w:after="0" w:line="240" w:lineRule="auto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Об’єкти природно-заповідного фонду, пам’ятки архітектури, історії і культури відсутні.</w:t>
            </w:r>
          </w:p>
          <w:p w:rsidR="00486ED4" w:rsidRPr="007B7CB4" w:rsidRDefault="007843C4" w:rsidP="00326F08">
            <w:pPr>
              <w:suppressAutoHyphens/>
              <w:autoSpaceDN w:val="0"/>
              <w:spacing w:after="0" w:line="240" w:lineRule="auto"/>
              <w:ind w:firstLine="250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Щодо територіальної альтернативи 2</w:t>
            </w:r>
          </w:p>
          <w:p w:rsidR="00093C8C" w:rsidRPr="007B7CB4" w:rsidRDefault="00326F08" w:rsidP="007A29F8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 розглядається. </w:t>
            </w:r>
            <w:r w:rsidR="0083619B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Дивиться пункт 3</w:t>
            </w:r>
          </w:p>
          <w:p w:rsidR="002C1FD4" w:rsidRPr="007B7CB4" w:rsidRDefault="002C1FD4" w:rsidP="007A29F8">
            <w:pPr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9.Належність планованої діяльності до першої чи другої категорії видів діяльності та об’єктів, які можуть мати значний вплив на довкілля та підлягають оцінці впливу на довкілля (зазначити відповідний пункт і частину статті 3 Закону України </w:t>
            </w:r>
            <w:proofErr w:type="spellStart"/>
            <w:r w:rsidRPr="007B7CB4"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“Про</w:t>
            </w:r>
            <w:proofErr w:type="spellEnd"/>
            <w:r w:rsidRPr="007B7CB4"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 оцінку впливу на </w:t>
            </w:r>
            <w:proofErr w:type="spellStart"/>
            <w:r w:rsidRPr="007B7CB4"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довкілля”</w:t>
            </w:r>
            <w:proofErr w:type="spellEnd"/>
            <w:r w:rsidRPr="007B7CB4"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>)</w:t>
            </w:r>
          </w:p>
          <w:p w:rsidR="00486ED4" w:rsidRPr="007B7CB4" w:rsidRDefault="00093C8C" w:rsidP="00640A97">
            <w:pPr>
              <w:suppressAutoHyphens/>
              <w:autoSpaceDN w:val="0"/>
              <w:spacing w:after="0" w:line="240" w:lineRule="auto"/>
              <w:ind w:firstLine="250"/>
              <w:jc w:val="both"/>
              <w:textAlignment w:val="baseline"/>
              <w:outlineLvl w:val="2"/>
              <w:rPr>
                <w:rFonts w:ascii="Times New Roman" w:eastAsia="Andale Sans UI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Планована діяльність </w:t>
            </w:r>
            <w:r w:rsidR="00621481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що до </w:t>
            </w:r>
            <w:r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«</w:t>
            </w:r>
            <w:r w:rsidR="00621481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Реконструкції АЗС по </w:t>
            </w:r>
            <w:r w:rsidR="00181364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вул. Дніпровська, 332 б, м. Павлоград  Дніпропетровської області</w:t>
            </w:r>
            <w:r w:rsidR="003D319B" w:rsidRPr="007B7CB4">
              <w:rPr>
                <w:rFonts w:ascii="Times New Roman" w:eastAsia="Andale Sans UI" w:hAnsi="Times New Roman" w:cs="Tahoma"/>
                <w:i/>
                <w:iCs/>
                <w:color w:val="000000" w:themeColor="text1"/>
                <w:kern w:val="3"/>
                <w:sz w:val="24"/>
                <w:szCs w:val="24"/>
                <w:lang w:val="uk-UA" w:bidi="en-US"/>
              </w:rPr>
              <w:t>»</w:t>
            </w:r>
            <w:r w:rsidR="00F429B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11EA1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відноситься до другої категорії видів планованої діяльності та об’єктів, які можуть мати значний вплив на довкілля і підлягають оцінці впливу на довкілля, </w:t>
            </w:r>
            <w:r w:rsidR="00337459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ст. 3 ч. 3 п.</w:t>
            </w:r>
            <w:r w:rsidR="0075685C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A079A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4. 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абзац 2</w:t>
            </w:r>
            <w:r w:rsidR="00537DD6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 </w:t>
            </w:r>
            <w:r w:rsidR="00963319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ст. 3 ч. 3 </w:t>
            </w:r>
            <w:r w:rsidR="00811655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пункт 14 </w:t>
            </w:r>
            <w:r w:rsidR="00711EA1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оцінку впливу на довкілля»</w:t>
            </w:r>
            <w:r w:rsidR="00640A97"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№ 2059-VIII від 29 травня 2017 року.</w:t>
            </w:r>
          </w:p>
          <w:p w:rsidR="002C1FD4" w:rsidRPr="007B7CB4" w:rsidRDefault="002C1FD4" w:rsidP="007A29F8">
            <w:pPr>
              <w:suppressAutoHyphens/>
              <w:autoSpaceDN w:val="0"/>
              <w:spacing w:after="0" w:line="240" w:lineRule="auto"/>
              <w:ind w:firstLine="250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t xml:space="preserve">10. Наявність підстав для здійснення оцінки транскордонного впливу на довкілля (в тому числі наявність значного негативного транскордонного впливу на довкілля та </w:t>
            </w:r>
            <w:r w:rsidRPr="007B7CB4">
              <w:rPr>
                <w:rFonts w:ascii="Times New Roman" w:eastAsia="Andale Sans UI" w:hAnsi="Times New Roman" w:cs="Tahoma"/>
                <w:b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  <w:lastRenderedPageBreak/>
              <w:t>перелік держав, довкілля яких може зазнати значного негативного транскордонного впливу (зачеплених держав)</w:t>
            </w:r>
          </w:p>
          <w:p w:rsidR="002C1FD4" w:rsidRPr="007B7CB4" w:rsidRDefault="00711EA1" w:rsidP="007A29F8">
            <w:pPr>
              <w:suppressAutoHyphens/>
              <w:autoSpaceDN w:val="0"/>
              <w:spacing w:after="0" w:line="240" w:lineRule="auto"/>
              <w:ind w:firstLine="250"/>
              <w:jc w:val="both"/>
              <w:textAlignment w:val="baseline"/>
              <w:outlineLvl w:val="2"/>
              <w:rPr>
                <w:rFonts w:ascii="Times New Roman" w:eastAsia="Andale Sans UI" w:hAnsi="Times New Roman" w:cs="Times New Roman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  <w:r w:rsidRPr="007B7C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Підстав для здійснення оцінки транскордонного впливу на довкілля немає.</w:t>
            </w:r>
          </w:p>
          <w:tbl>
            <w:tblPr>
              <w:tblpPr w:leftFromText="180" w:rightFromText="180" w:vertAnchor="text" w:tblpY="1"/>
              <w:tblOverlap w:val="never"/>
              <w:tblW w:w="97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797"/>
            </w:tblGrid>
            <w:tr w:rsidR="00A51A78" w:rsidRPr="00DD3013" w:rsidTr="00A51A78">
              <w:trPr>
                <w:trHeight w:val="1"/>
              </w:trPr>
              <w:tc>
                <w:tcPr>
                  <w:tcW w:w="9797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A51A78" w:rsidRPr="007B7CB4" w:rsidRDefault="00A51A78" w:rsidP="00A51A78">
                  <w:pPr>
                    <w:suppressAutoHyphens/>
                    <w:spacing w:after="0" w:line="240" w:lineRule="auto"/>
                    <w:jc w:val="both"/>
                    <w:rPr>
                      <w:i/>
                      <w:lang w:val="uk-UA"/>
                    </w:rPr>
                  </w:pPr>
                  <w:r w:rsidRPr="007B7CB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lang w:val="uk-UA"/>
                    </w:rPr>
                    <w:t>11. Планований обсяг досліджень та рівень деталізації інформації, що підлягає включенню до звіту з оцінки впливу на довкілля</w:t>
                  </w:r>
                </w:p>
              </w:tc>
            </w:tr>
            <w:tr w:rsidR="00A51A78" w:rsidRPr="00DD3013" w:rsidTr="00A51A78">
              <w:trPr>
                <w:trHeight w:val="1"/>
              </w:trPr>
              <w:tc>
                <w:tcPr>
                  <w:tcW w:w="9797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711EA1" w:rsidRPr="007B7CB4" w:rsidRDefault="00A51A78" w:rsidP="00711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</w:pPr>
                  <w:r w:rsidRPr="007B7CB4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 xml:space="preserve">    </w:t>
                  </w:r>
                  <w:r w:rsidR="00711EA1" w:rsidRPr="007B7CB4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Планований обсяг досліджень та рівень деталізації інформації, що підлягає включенню до</w:t>
                  </w:r>
                </w:p>
                <w:p w:rsidR="00711EA1" w:rsidRPr="007B7CB4" w:rsidRDefault="00711EA1" w:rsidP="00711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</w:pPr>
                  <w:r w:rsidRPr="007B7CB4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 xml:space="preserve">звіту з оцінки впливу на довкілля , приймається у відповідності із ст.6 Закону України </w:t>
                  </w:r>
                  <w:proofErr w:type="spellStart"/>
                  <w:r w:rsidRPr="007B7CB4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“Про</w:t>
                  </w:r>
                  <w:proofErr w:type="spellEnd"/>
                </w:p>
                <w:p w:rsidR="00486ED4" w:rsidRPr="007B7CB4" w:rsidRDefault="00711EA1" w:rsidP="00711EA1">
                  <w:pPr>
                    <w:spacing w:after="0" w:line="240" w:lineRule="auto"/>
                    <w:jc w:val="both"/>
                    <w:rPr>
                      <w:lang w:val="uk-UA"/>
                    </w:rPr>
                  </w:pPr>
                  <w:r w:rsidRPr="007B7CB4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 xml:space="preserve">оцінку впливу на </w:t>
                  </w:r>
                  <w:proofErr w:type="spellStart"/>
                  <w:r w:rsidRPr="007B7CB4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>довкілля”</w:t>
                  </w:r>
                  <w:proofErr w:type="spellEnd"/>
                  <w:r w:rsidRPr="007B7CB4">
                    <w:rPr>
                      <w:rFonts w:ascii="Times New Roman" w:eastAsia="Times New Roman" w:hAnsi="Times New Roman" w:cs="Times New Roman"/>
                      <w:i/>
                      <w:sz w:val="24"/>
                      <w:lang w:val="uk-UA"/>
                    </w:rPr>
                    <w:t xml:space="preserve"> № 2059-VIII від 23 травня 2017 року.</w:t>
                  </w:r>
                </w:p>
              </w:tc>
            </w:tr>
            <w:tr w:rsidR="00A51A78" w:rsidRPr="00DD3013" w:rsidTr="00A51A78">
              <w:trPr>
                <w:trHeight w:val="1"/>
              </w:trPr>
              <w:tc>
                <w:tcPr>
                  <w:tcW w:w="9797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A51A78" w:rsidRPr="007B7CB4" w:rsidRDefault="00A51A78" w:rsidP="00A51A78">
                  <w:pPr>
                    <w:suppressAutoHyphens/>
                    <w:spacing w:after="0" w:line="240" w:lineRule="auto"/>
                    <w:jc w:val="both"/>
                    <w:rPr>
                      <w:i/>
                      <w:lang w:val="uk-UA"/>
                    </w:rPr>
                  </w:pPr>
                  <w:r w:rsidRPr="007B7CB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lang w:val="uk-UA"/>
                    </w:rPr>
                    <w:t>12. Процедура оцінки впливу на довкілля та можливості для участі в ній громадськості</w:t>
                  </w:r>
                </w:p>
              </w:tc>
            </w:tr>
            <w:tr w:rsidR="00A51A78" w:rsidRPr="00DD3013" w:rsidTr="00A51A78">
              <w:trPr>
                <w:trHeight w:val="1"/>
              </w:trPr>
              <w:tc>
                <w:tcPr>
                  <w:tcW w:w="9797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711EA1" w:rsidRPr="007B7CB4" w:rsidRDefault="00711EA1" w:rsidP="00711EA1">
                  <w:pPr>
                    <w:suppressAutoHyphens/>
                    <w:spacing w:after="0" w:line="240" w:lineRule="auto"/>
                    <w:ind w:firstLine="31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Планована суб’єктом господарювання діяльність може мати значний вплив на довкілля і, отже, підлягає оцінці впливу на довкілля відповідно до Закону України «Про оцінку впливу на довкілля». </w:t>
                  </w:r>
                </w:p>
                <w:p w:rsidR="00711EA1" w:rsidRPr="007B7CB4" w:rsidRDefault="00711EA1" w:rsidP="00711EA1">
                  <w:pPr>
                    <w:suppressAutoHyphens/>
                    <w:spacing w:after="0" w:line="240" w:lineRule="auto"/>
                    <w:ind w:firstLine="31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Оцінка впливу на довкілля - це процедура, що передбачає: </w:t>
                  </w:r>
                </w:p>
                <w:p w:rsidR="00711EA1" w:rsidRPr="007B7CB4" w:rsidRDefault="00711EA1" w:rsidP="00711EA1">
                  <w:pPr>
                    <w:suppressAutoHyphens/>
                    <w:spacing w:after="0" w:line="240" w:lineRule="auto"/>
                    <w:ind w:firstLine="31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підготовку суб’єктом господарювання звіту з оцінки впливу на довкілля; проведення громадського обговорення планованої діяльності; </w:t>
                  </w:r>
                </w:p>
                <w:p w:rsidR="00A51A78" w:rsidRPr="007B7CB4" w:rsidRDefault="00711EA1" w:rsidP="00711EA1">
                  <w:pPr>
                    <w:suppressAutoHyphens/>
                    <w:spacing w:after="0" w:line="240" w:lineRule="auto"/>
                    <w:ind w:firstLine="31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аналіз уповноваженим органом звіту з оцінки впливу на довкілля, будь-якої додаткової інформації, яку надає суб’єкт господарювання, а також інформації, отриманої від громадськості під час громадського обговорення, під час здійснення процедури оцінки транскордонного впливу, іншої інформації;</w:t>
                  </w:r>
                </w:p>
                <w:p w:rsidR="00522BAA" w:rsidRPr="007B7CB4" w:rsidRDefault="00711EA1" w:rsidP="00A51A7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lang w:val="uk-UA"/>
                    </w:rPr>
                    <w:t xml:space="preserve">  </w:t>
                  </w: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надання уповноваженим органом мотивованого висновку з оцінки впливу на довкілля, що враховує результати аналізу, передбаченого абзацом п’ятим цього пункту; врахування висновку з оцінки впливу на довкілля у рішенні про провадження планованої діяльності, зазначеного у пункті 14 цього повідомлення. </w:t>
                  </w:r>
                </w:p>
                <w:p w:rsidR="00522BAA" w:rsidRPr="007B7CB4" w:rsidRDefault="00711EA1" w:rsidP="00A51A7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У висновку з оцінки впливу на довкілля уповноважений орган, виходячи з оцінки впливу на довкілля планованої діяльності, визначає допустимість чи обґрунтовує недопустимість провадження планованої діяльності та визначає екологічні умови її провадження. </w:t>
                  </w:r>
                </w:p>
                <w:p w:rsidR="00522BAA" w:rsidRPr="007B7CB4" w:rsidRDefault="00522BAA" w:rsidP="00A51A7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 </w:t>
                  </w:r>
                  <w:r w:rsidR="00711EA1"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діяльності. </w:t>
                  </w:r>
                </w:p>
                <w:p w:rsidR="00522BAA" w:rsidRPr="007B7CB4" w:rsidRDefault="00522BAA" w:rsidP="00A51A7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 </w:t>
                  </w:r>
                  <w:r w:rsidR="00711EA1"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Процедура оцінки впливу на довкілля передбачає право і можливості громадськості для участі у такій процедурі, зокрема на стадії обговорення обсягу досліджень та рівня деталізації інформації, що підлягає включенню до звіту з оцінки впливу на довкілля, а також на стадії розгляду уповноваженим органом поданого суб’єктом господарювання звіту з оцінки впливу на довкілля.</w:t>
                  </w:r>
                </w:p>
                <w:p w:rsidR="00486ED4" w:rsidRPr="007B7CB4" w:rsidRDefault="00522BAA" w:rsidP="00A51A7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  </w:t>
                  </w:r>
                  <w:r w:rsidR="00711EA1" w:rsidRPr="007B7C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будь-які зауваження і пропозиції до звіту з оцінки впливу на довкілля та планованої діяльності, а також взяти участь у громадських слуханнях.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обговорення.</w:t>
                  </w:r>
                </w:p>
                <w:p w:rsidR="00746E3E" w:rsidRPr="007B7CB4" w:rsidRDefault="00746E3E" w:rsidP="00746E3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7B7CB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uk-UA" w:eastAsia="ru-RU"/>
                    </w:rPr>
                    <w:t xml:space="preserve">Тимчасово, на період дії та в межах території карантину, встановленого Кабінетом Міністрів України з метою запобігання поширенню на території України гострої респіраторної хвороби (COVID-19), спричиненої </w:t>
                  </w:r>
                  <w:proofErr w:type="spellStart"/>
                  <w:r w:rsidRPr="007B7CB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uk-UA" w:eastAsia="ru-RU"/>
                    </w:rPr>
                    <w:t>коронавірусом</w:t>
                  </w:r>
                  <w:proofErr w:type="spellEnd"/>
                  <w:r w:rsidRPr="007B7CB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uk-UA" w:eastAsia="ru-RU"/>
                    </w:rPr>
                    <w:t xml:space="preserve"> SARS-CoV-2, до повного його скасування та протягом 30 днів з дня скасування карантину, громадські слухання не проводяться і не призначаються на дати, що припадають на цей період, про що зазначається в оголошенні про початок громадського обговорення звіту з оцінки впливу на довкілля</w:t>
                  </w:r>
                  <w:r w:rsidRPr="007B7CB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1E440C" w:rsidRPr="007B7CB4" w:rsidRDefault="001E440C" w:rsidP="007A29F8">
            <w:pPr>
              <w:suppressAutoHyphens/>
              <w:autoSpaceDN w:val="0"/>
              <w:spacing w:after="0" w:line="240" w:lineRule="auto"/>
              <w:ind w:firstLine="250"/>
              <w:jc w:val="both"/>
              <w:textAlignment w:val="baseline"/>
              <w:outlineLvl w:val="2"/>
              <w:rPr>
                <w:rFonts w:ascii="Times New Roman" w:eastAsia="Andale Sans UI" w:hAnsi="Times New Roman" w:cs="Tahoma"/>
                <w:bCs/>
                <w:i/>
                <w:color w:val="000000" w:themeColor="text1"/>
                <w:kern w:val="3"/>
                <w:sz w:val="24"/>
                <w:szCs w:val="24"/>
                <w:lang w:val="uk-UA" w:bidi="en-US"/>
              </w:rPr>
            </w:pPr>
          </w:p>
        </w:tc>
      </w:tr>
    </w:tbl>
    <w:p w:rsidR="009D488D" w:rsidRPr="007B7CB4" w:rsidRDefault="009D488D" w:rsidP="009D488D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b/>
          <w:i/>
          <w:lang w:val="uk-UA"/>
        </w:rPr>
      </w:pPr>
      <w:r w:rsidRPr="007B7CB4">
        <w:rPr>
          <w:rFonts w:ascii="Times New Roman" w:hAnsi="Times New Roman" w:cs="Times New Roman"/>
          <w:b/>
          <w:i/>
          <w:lang w:val="uk-UA"/>
        </w:rPr>
        <w:lastRenderedPageBreak/>
        <w:t xml:space="preserve">13.Громадське обговорення обсягу досліджень та рівня деталізації інформації, що підлягає включенню до звіту з оцінки впливу на довкілля </w:t>
      </w:r>
    </w:p>
    <w:p w:rsidR="005C74E3" w:rsidRPr="007B7CB4" w:rsidRDefault="005C74E3" w:rsidP="009D488D">
      <w:pPr>
        <w:tabs>
          <w:tab w:val="left" w:pos="5970"/>
        </w:tabs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7C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Протягом 20 робочих днів з дня оприлюднення цього повідомлення на офіційному </w:t>
      </w:r>
      <w:proofErr w:type="spellStart"/>
      <w:r w:rsidRPr="007B7CB4">
        <w:rPr>
          <w:rFonts w:ascii="Times New Roman" w:hAnsi="Times New Roman" w:cs="Times New Roman"/>
          <w:i/>
          <w:sz w:val="24"/>
          <w:szCs w:val="24"/>
          <w:lang w:val="uk-UA"/>
        </w:rPr>
        <w:t>вебсайті</w:t>
      </w:r>
      <w:proofErr w:type="spellEnd"/>
      <w:r w:rsidRPr="007B7C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уповноваженого органу громадськість має право надати уповноваженому органу, зазначеному у пункті 15 цього повідомлення, зауваження і пропозиції до планованої діяльності, обсягу досліджень та рівня деталізації інформації, що підлягає включенню до звіту з оцінки впливу на довкілля. </w:t>
      </w:r>
    </w:p>
    <w:p w:rsidR="005C74E3" w:rsidRPr="007B7CB4" w:rsidRDefault="005C74E3" w:rsidP="009D488D">
      <w:pPr>
        <w:tabs>
          <w:tab w:val="left" w:pos="5970"/>
        </w:tabs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7CB4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Надаючи такі зауваженні і пропозиції, вкажіть реєстраційний номер справи про оцінку впливу на довкілля планованої діяльності в Єдиному реєстрі з оцінки впливу на довкілля (зазначений на першій сторінці цього повідомлення). Це значно спростить процес реєстрації та розгляду Ваших зауважень та пропозицій. </w:t>
      </w:r>
    </w:p>
    <w:p w:rsidR="00486ED4" w:rsidRPr="007B7CB4" w:rsidRDefault="005C74E3" w:rsidP="009D488D">
      <w:pPr>
        <w:tabs>
          <w:tab w:val="left" w:pos="5970"/>
        </w:tabs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7CB4">
        <w:rPr>
          <w:rFonts w:ascii="Times New Roman" w:hAnsi="Times New Roman" w:cs="Times New Roman"/>
          <w:i/>
          <w:sz w:val="24"/>
          <w:szCs w:val="24"/>
          <w:lang w:val="uk-UA"/>
        </w:rPr>
        <w:t>У разі отримання таких зауважень і пропозицій громадськості вони будуть розмішені в Єдиному реєстрі з оцінки впливу на довкілля та передані суб’єкту господарювання (протягом трьох робочих днів з дня їх отримання). Особи, що надають зауваження і пропозиції, своїм підписом засвідчують свою згоду на обробку їх персональних даних. Суб’єкт господарювання під час підготовки звіту з оцінки впливу на довкілля зобов’язаний врахувати повністю, врахувати частково або обґрунтовано відхилити зауваження і пропозиції громадськості, надані у процесі громадського обговорення обсягу досліджень та рівня деталізації інформації, що підлягає включенню до звіту з оцінки впливу на довкілля. Детальна інформація про це включається до звіту з оцінки впливу на довкілля.</w:t>
      </w:r>
    </w:p>
    <w:p w:rsidR="009D488D" w:rsidRPr="007B7CB4" w:rsidRDefault="009D488D" w:rsidP="009D488D">
      <w:pPr>
        <w:tabs>
          <w:tab w:val="left" w:pos="5970"/>
        </w:tabs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7CB4">
        <w:rPr>
          <w:rFonts w:ascii="Times New Roman" w:hAnsi="Times New Roman" w:cs="Times New Roman"/>
          <w:b/>
          <w:i/>
          <w:sz w:val="24"/>
          <w:szCs w:val="24"/>
          <w:lang w:val="uk-UA"/>
        </w:rPr>
        <w:t>14. Рішення про провадження планованої діяльності</w:t>
      </w:r>
    </w:p>
    <w:p w:rsidR="009D488D" w:rsidRPr="007B7CB4" w:rsidRDefault="009D488D" w:rsidP="009D488D">
      <w:pPr>
        <w:tabs>
          <w:tab w:val="left" w:pos="597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CB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законодавства рішенням про провадження даної планованої діяльності буде </w:t>
      </w:r>
    </w:p>
    <w:p w:rsidR="00486ED4" w:rsidRPr="007B7CB4" w:rsidRDefault="00FC2832" w:rsidP="00036CD4">
      <w:pPr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7B7CB4">
        <w:rPr>
          <w:rFonts w:ascii="Times New Roman" w:hAnsi="Times New Roman" w:cs="Times New Roman"/>
          <w:i/>
          <w:sz w:val="24"/>
          <w:szCs w:val="24"/>
          <w:lang w:val="uk-UA"/>
        </w:rPr>
        <w:t>Дозвіл на виконання будівельних робіт</w:t>
      </w:r>
      <w:r w:rsidR="00963319" w:rsidRPr="007B7CB4">
        <w:rPr>
          <w:rFonts w:ascii="Times New Roman" w:hAnsi="Times New Roman"/>
          <w:i/>
          <w:sz w:val="24"/>
          <w:szCs w:val="24"/>
          <w:lang w:val="uk-UA"/>
        </w:rPr>
        <w:t xml:space="preserve"> (ст.37 </w:t>
      </w:r>
      <w:r w:rsidR="00715531" w:rsidRPr="007B7CB4">
        <w:rPr>
          <w:rFonts w:ascii="Times New Roman" w:hAnsi="Times New Roman"/>
          <w:i/>
          <w:sz w:val="24"/>
          <w:szCs w:val="24"/>
          <w:lang w:val="uk-UA"/>
        </w:rPr>
        <w:t>«</w:t>
      </w:r>
      <w:r w:rsidR="00963319" w:rsidRPr="007B7CB4">
        <w:rPr>
          <w:rFonts w:ascii="Times New Roman" w:hAnsi="Times New Roman"/>
          <w:i/>
          <w:sz w:val="24"/>
          <w:szCs w:val="24"/>
          <w:lang w:val="uk-UA"/>
        </w:rPr>
        <w:t xml:space="preserve">Закону України </w:t>
      </w:r>
      <w:proofErr w:type="spellStart"/>
      <w:r w:rsidR="00963319" w:rsidRPr="007B7CB4">
        <w:rPr>
          <w:rFonts w:ascii="Times New Roman" w:hAnsi="Times New Roman"/>
          <w:i/>
          <w:sz w:val="24"/>
          <w:szCs w:val="24"/>
          <w:lang w:val="uk-UA"/>
        </w:rPr>
        <w:t>“Про</w:t>
      </w:r>
      <w:proofErr w:type="spellEnd"/>
      <w:r w:rsidR="00963319" w:rsidRPr="007B7CB4">
        <w:rPr>
          <w:rFonts w:ascii="Times New Roman" w:hAnsi="Times New Roman"/>
          <w:i/>
          <w:sz w:val="24"/>
          <w:szCs w:val="24"/>
          <w:lang w:val="uk-UA"/>
        </w:rPr>
        <w:t xml:space="preserve"> регулювання містобудівної діяльності</w:t>
      </w:r>
      <w:r w:rsidR="00715531" w:rsidRPr="007B7CB4">
        <w:rPr>
          <w:rFonts w:ascii="Times New Roman" w:hAnsi="Times New Roman"/>
          <w:i/>
          <w:sz w:val="24"/>
          <w:szCs w:val="24"/>
          <w:lang w:val="uk-UA"/>
        </w:rPr>
        <w:t>»</w:t>
      </w:r>
      <w:r w:rsidR="00963319" w:rsidRPr="007B7CB4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9D488D" w:rsidRPr="007B7CB4" w:rsidRDefault="00B7030F" w:rsidP="007D65E6">
      <w:pPr>
        <w:tabs>
          <w:tab w:val="left" w:pos="1394"/>
        </w:tabs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B7030F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line id="Прямая соединительная линия 1" o:spid="_x0000_s1029" style="position:absolute;left:0;text-align:left;flip:y;z-index:251660288;visibility:visible;mso-wrap-distance-top:-3e-5mm;mso-wrap-distance-bottom:-3e-5mm;mso-height-relative:margin" from="-1.95pt,-.25pt" to="50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" strokecolor="black [3040]">
            <o:lock v:ext="edit" shapetype="f"/>
          </v:line>
        </w:pict>
      </w:r>
      <w:r w:rsidR="009D488D" w:rsidRPr="007B7CB4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(вид рішення відповідно до частини першої статті 11 Закону України </w:t>
      </w:r>
      <w:proofErr w:type="spellStart"/>
      <w:r w:rsidR="009D488D" w:rsidRPr="007B7CB4">
        <w:rPr>
          <w:rFonts w:ascii="Times New Roman" w:hAnsi="Times New Roman" w:cs="Times New Roman"/>
          <w:i/>
          <w:sz w:val="18"/>
          <w:szCs w:val="18"/>
          <w:lang w:val="uk-UA"/>
        </w:rPr>
        <w:t>“Про</w:t>
      </w:r>
      <w:proofErr w:type="spellEnd"/>
      <w:r w:rsidR="009D488D" w:rsidRPr="007B7CB4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оцінку впливу на </w:t>
      </w:r>
      <w:proofErr w:type="spellStart"/>
      <w:r w:rsidR="009D488D" w:rsidRPr="007B7CB4">
        <w:rPr>
          <w:rFonts w:ascii="Times New Roman" w:hAnsi="Times New Roman" w:cs="Times New Roman"/>
          <w:i/>
          <w:sz w:val="18"/>
          <w:szCs w:val="18"/>
          <w:lang w:val="uk-UA"/>
        </w:rPr>
        <w:t>довкілля”</w:t>
      </w:r>
      <w:proofErr w:type="spellEnd"/>
      <w:r w:rsidR="009D488D" w:rsidRPr="007B7CB4">
        <w:rPr>
          <w:rFonts w:ascii="Times New Roman" w:hAnsi="Times New Roman" w:cs="Times New Roman"/>
          <w:i/>
          <w:sz w:val="18"/>
          <w:szCs w:val="18"/>
          <w:lang w:val="uk-UA"/>
        </w:rPr>
        <w:t>)</w:t>
      </w:r>
    </w:p>
    <w:p w:rsidR="00486ED4" w:rsidRPr="007B7CB4" w:rsidRDefault="005C74E3" w:rsidP="00FB5D1B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7C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 видається </w:t>
      </w:r>
      <w:r w:rsidR="00960176" w:rsidRPr="007B7CB4">
        <w:rPr>
          <w:rFonts w:ascii="Times New Roman" w:hAnsi="Times New Roman" w:cs="Times New Roman"/>
          <w:i/>
          <w:sz w:val="24"/>
          <w:szCs w:val="24"/>
          <w:lang w:val="uk-UA"/>
        </w:rPr>
        <w:t>органом Державною інспекцію архітектури та містобудування України.</w:t>
      </w:r>
    </w:p>
    <w:p w:rsidR="009D488D" w:rsidRPr="007B7CB4" w:rsidRDefault="00B7030F" w:rsidP="009D488D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03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8" style="position:absolute;left:0;text-align:left;flip:y;z-index:251659264;visibility:visible;mso-wrap-distance-top:-3e-5mm;mso-wrap-distance-bottom:-3e-5mm;mso-height-relative:margin" from="-1.9pt,.35pt" to="504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" strokecolor="black [3040]">
            <o:lock v:ext="edit" shapetype="f"/>
          </v:line>
        </w:pict>
      </w:r>
      <w:r w:rsidR="009D488D" w:rsidRPr="007B7CB4">
        <w:rPr>
          <w:rFonts w:ascii="Times New Roman" w:hAnsi="Times New Roman" w:cs="Times New Roman"/>
          <w:sz w:val="20"/>
          <w:szCs w:val="20"/>
          <w:lang w:val="uk-UA"/>
        </w:rPr>
        <w:t>(орган, до повноважень якого належить прийняття такого рішення)</w:t>
      </w:r>
      <w:r w:rsidR="009D488D" w:rsidRPr="007B7CB4">
        <w:rPr>
          <w:rFonts w:ascii="Times New Roman" w:hAnsi="Times New Roman" w:cs="Times New Roman"/>
          <w:sz w:val="20"/>
          <w:szCs w:val="20"/>
          <w:lang w:val="uk-UA"/>
        </w:rPr>
        <w:cr/>
      </w:r>
      <w:r w:rsidR="009D488D" w:rsidRPr="007B7CB4">
        <w:rPr>
          <w:rFonts w:ascii="Times New Roman" w:hAnsi="Times New Roman" w:cs="Times New Roman"/>
          <w:b/>
          <w:i/>
          <w:sz w:val="24"/>
          <w:szCs w:val="24"/>
          <w:lang w:val="uk-UA"/>
        </w:rPr>
        <w:t>15. Усі зауваження і пропозиції громадськості до планованої діяльності, обсягу досліджень та рівня деталізації інформації, що підлягає включенню до звіту з оцінки впливу на довкілля, необхідно надсилати до</w:t>
      </w:r>
    </w:p>
    <w:p w:rsidR="00181364" w:rsidRDefault="00181364" w:rsidP="00CA5A29">
      <w:pPr>
        <w:tabs>
          <w:tab w:val="left" w:pos="139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B7C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Департаменту екології та природних ресурсів Дніпропетровської обласної Державної адміністрації, поштова адреса: 49000, м. Дніпро, вул. Лабораторна, 69; е-mail:</w:t>
      </w:r>
      <w:r w:rsidRPr="001813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  <w:lang w:val="uk-UA"/>
        </w:rPr>
        <w:t>ecology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  <w:lang w:val="uk-UA"/>
        </w:rPr>
        <w:t>@</w:t>
      </w:r>
      <w:proofErr w:type="spellStart"/>
      <w:r w:rsidRPr="00181364">
        <w:rPr>
          <w:rFonts w:ascii="Times New Roman" w:hAnsi="Times New Roman" w:cs="Times New Roman"/>
          <w:i/>
          <w:sz w:val="24"/>
          <w:szCs w:val="24"/>
          <w:lang w:val="uk-UA"/>
        </w:rPr>
        <w:t>adm.dp.gov.ua</w:t>
      </w:r>
      <w:proofErr w:type="spellEnd"/>
      <w:r w:rsidRPr="00181364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4662D1">
        <w:rPr>
          <w:lang w:val="ru-RU"/>
        </w:rPr>
        <w:t xml:space="preserve"> </w:t>
      </w:r>
      <w:r w:rsidRPr="001813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тел. 096 </w:t>
      </w:r>
      <w:r w:rsidR="009445F7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181364">
        <w:rPr>
          <w:rFonts w:ascii="Times New Roman" w:hAnsi="Times New Roman" w:cs="Times New Roman"/>
          <w:i/>
          <w:sz w:val="24"/>
          <w:szCs w:val="24"/>
          <w:lang w:val="uk-UA"/>
        </w:rPr>
        <w:t>512</w:t>
      </w:r>
      <w:r w:rsidR="009445F7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1813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94</w:t>
      </w:r>
      <w:r w:rsidR="009445F7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1813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24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7189D" w:rsidRPr="0075685C" w:rsidRDefault="00B7030F" w:rsidP="00CA5A29">
      <w:pPr>
        <w:tabs>
          <w:tab w:val="left" w:pos="1394"/>
        </w:tabs>
        <w:spacing w:after="0"/>
        <w:jc w:val="both"/>
        <w:rPr>
          <w:lang w:val="uk-UA"/>
        </w:rPr>
      </w:pPr>
      <w:r w:rsidRPr="00B7030F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line id="Прямая соединительная линия 3" o:spid="_x0000_s1027" style="position:absolute;left:0;text-align:left;flip:y;z-index:251662336;visibility:visible;mso-wrap-distance-top:-3e-5mm;mso-wrap-distance-bottom:-3e-5mm;mso-height-relative:margin" from="-2.55pt,3.1pt" to="50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" strokecolor="black [3040]">
            <o:lock v:ext="edit" shapetype="f"/>
          </v:line>
        </w:pict>
      </w:r>
      <w:r w:rsidR="005C74E3" w:rsidRPr="007568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(найменування уповноваженого органу, поштова адреса, електронна адреса, номер телефону та </w:t>
      </w:r>
      <w:r w:rsidR="009D488D" w:rsidRPr="0075685C">
        <w:rPr>
          <w:rFonts w:ascii="Times New Roman" w:hAnsi="Times New Roman" w:cs="Times New Roman"/>
          <w:i/>
          <w:sz w:val="24"/>
          <w:szCs w:val="24"/>
          <w:lang w:val="uk-UA"/>
        </w:rPr>
        <w:t>контактна особа)</w:t>
      </w:r>
    </w:p>
    <w:sectPr w:rsidR="0027189D" w:rsidRPr="0075685C" w:rsidSect="00857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6A" w:rsidRDefault="003E6E6A" w:rsidP="00486ED4">
      <w:pPr>
        <w:spacing w:after="0" w:line="240" w:lineRule="auto"/>
      </w:pPr>
      <w:r>
        <w:separator/>
      </w:r>
    </w:p>
  </w:endnote>
  <w:endnote w:type="continuationSeparator" w:id="0">
    <w:p w:rsidR="003E6E6A" w:rsidRDefault="003E6E6A" w:rsidP="0048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6A" w:rsidRDefault="003E6E6A" w:rsidP="00486ED4">
      <w:pPr>
        <w:spacing w:after="0" w:line="240" w:lineRule="auto"/>
      </w:pPr>
      <w:r>
        <w:separator/>
      </w:r>
    </w:p>
  </w:footnote>
  <w:footnote w:type="continuationSeparator" w:id="0">
    <w:p w:rsidR="003E6E6A" w:rsidRDefault="003E6E6A" w:rsidP="0048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53A"/>
    <w:multiLevelType w:val="hybridMultilevel"/>
    <w:tmpl w:val="1F94DFF6"/>
    <w:lvl w:ilvl="0" w:tplc="F634C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7E3F"/>
    <w:multiLevelType w:val="hybridMultilevel"/>
    <w:tmpl w:val="BD7E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02B5"/>
    <w:multiLevelType w:val="hybridMultilevel"/>
    <w:tmpl w:val="7F42A600"/>
    <w:lvl w:ilvl="0" w:tplc="E9A4C072">
      <w:start w:val="1"/>
      <w:numFmt w:val="bullet"/>
      <w:lvlText w:val="-"/>
      <w:lvlJc w:val="left"/>
      <w:pPr>
        <w:ind w:left="720" w:hanging="360"/>
      </w:pPr>
      <w:rPr>
        <w:rFonts w:ascii="ISOCPEUR" w:eastAsia="Calibri" w:hAnsi="ISOCPEUR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56B5"/>
    <w:multiLevelType w:val="hybridMultilevel"/>
    <w:tmpl w:val="24A65A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FAA"/>
    <w:multiLevelType w:val="hybridMultilevel"/>
    <w:tmpl w:val="C5248B76"/>
    <w:lvl w:ilvl="0" w:tplc="032CFE2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25235"/>
    <w:multiLevelType w:val="hybridMultilevel"/>
    <w:tmpl w:val="EC8669F6"/>
    <w:lvl w:ilvl="0" w:tplc="394C9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FD4"/>
    <w:rsid w:val="000031A6"/>
    <w:rsid w:val="000226D8"/>
    <w:rsid w:val="000328BC"/>
    <w:rsid w:val="000365F0"/>
    <w:rsid w:val="00036CD4"/>
    <w:rsid w:val="00046288"/>
    <w:rsid w:val="00057915"/>
    <w:rsid w:val="00065D74"/>
    <w:rsid w:val="00076E28"/>
    <w:rsid w:val="00090D39"/>
    <w:rsid w:val="000923D3"/>
    <w:rsid w:val="00093C8C"/>
    <w:rsid w:val="0009629D"/>
    <w:rsid w:val="000B659B"/>
    <w:rsid w:val="000C1A5B"/>
    <w:rsid w:val="000C4AFD"/>
    <w:rsid w:val="000D470A"/>
    <w:rsid w:val="000E16A6"/>
    <w:rsid w:val="000E1C55"/>
    <w:rsid w:val="000F4067"/>
    <w:rsid w:val="00100231"/>
    <w:rsid w:val="001077C7"/>
    <w:rsid w:val="00132FA2"/>
    <w:rsid w:val="00134984"/>
    <w:rsid w:val="0013669A"/>
    <w:rsid w:val="001620D5"/>
    <w:rsid w:val="001805A4"/>
    <w:rsid w:val="00181364"/>
    <w:rsid w:val="001A56A2"/>
    <w:rsid w:val="001C1FF1"/>
    <w:rsid w:val="001C600C"/>
    <w:rsid w:val="001C722F"/>
    <w:rsid w:val="001E3C76"/>
    <w:rsid w:val="001E440C"/>
    <w:rsid w:val="001F63D3"/>
    <w:rsid w:val="002044B4"/>
    <w:rsid w:val="002147A0"/>
    <w:rsid w:val="0025416F"/>
    <w:rsid w:val="0027189D"/>
    <w:rsid w:val="002772A6"/>
    <w:rsid w:val="00285E17"/>
    <w:rsid w:val="00290048"/>
    <w:rsid w:val="002A1174"/>
    <w:rsid w:val="002A4448"/>
    <w:rsid w:val="002B668E"/>
    <w:rsid w:val="002C1FD4"/>
    <w:rsid w:val="002E2068"/>
    <w:rsid w:val="002F742E"/>
    <w:rsid w:val="003004A4"/>
    <w:rsid w:val="00303AF7"/>
    <w:rsid w:val="0032563F"/>
    <w:rsid w:val="00326F08"/>
    <w:rsid w:val="00336692"/>
    <w:rsid w:val="00337459"/>
    <w:rsid w:val="003442CE"/>
    <w:rsid w:val="003841F5"/>
    <w:rsid w:val="00391106"/>
    <w:rsid w:val="00395E90"/>
    <w:rsid w:val="00396331"/>
    <w:rsid w:val="00396AA1"/>
    <w:rsid w:val="003B7BAF"/>
    <w:rsid w:val="003C7A29"/>
    <w:rsid w:val="003D319B"/>
    <w:rsid w:val="003E6E6A"/>
    <w:rsid w:val="0040681E"/>
    <w:rsid w:val="0042089B"/>
    <w:rsid w:val="0044554A"/>
    <w:rsid w:val="004563A6"/>
    <w:rsid w:val="004662D1"/>
    <w:rsid w:val="00470833"/>
    <w:rsid w:val="0047663F"/>
    <w:rsid w:val="00481DED"/>
    <w:rsid w:val="00486ED4"/>
    <w:rsid w:val="004F138E"/>
    <w:rsid w:val="004F2F07"/>
    <w:rsid w:val="004F33CB"/>
    <w:rsid w:val="00506E9C"/>
    <w:rsid w:val="00512996"/>
    <w:rsid w:val="005219D0"/>
    <w:rsid w:val="00522BAA"/>
    <w:rsid w:val="00535C1C"/>
    <w:rsid w:val="00536D7B"/>
    <w:rsid w:val="00537DD6"/>
    <w:rsid w:val="005443ED"/>
    <w:rsid w:val="00545694"/>
    <w:rsid w:val="00550051"/>
    <w:rsid w:val="005548F6"/>
    <w:rsid w:val="0055798E"/>
    <w:rsid w:val="00571CB1"/>
    <w:rsid w:val="00573920"/>
    <w:rsid w:val="00576695"/>
    <w:rsid w:val="00584CCB"/>
    <w:rsid w:val="0059758C"/>
    <w:rsid w:val="005B173E"/>
    <w:rsid w:val="005B40FD"/>
    <w:rsid w:val="005C4C2A"/>
    <w:rsid w:val="005C5476"/>
    <w:rsid w:val="005C6D8F"/>
    <w:rsid w:val="005C74E3"/>
    <w:rsid w:val="005E0361"/>
    <w:rsid w:val="005F3E5A"/>
    <w:rsid w:val="00620BC0"/>
    <w:rsid w:val="00621481"/>
    <w:rsid w:val="00621FDE"/>
    <w:rsid w:val="0063308C"/>
    <w:rsid w:val="00636DBD"/>
    <w:rsid w:val="00640A97"/>
    <w:rsid w:val="00646B97"/>
    <w:rsid w:val="00646BB0"/>
    <w:rsid w:val="006740E0"/>
    <w:rsid w:val="00674D32"/>
    <w:rsid w:val="0067643C"/>
    <w:rsid w:val="00683A7F"/>
    <w:rsid w:val="00685FC7"/>
    <w:rsid w:val="0068777C"/>
    <w:rsid w:val="00687972"/>
    <w:rsid w:val="0069166C"/>
    <w:rsid w:val="00691AD7"/>
    <w:rsid w:val="00692247"/>
    <w:rsid w:val="0069550A"/>
    <w:rsid w:val="006A4826"/>
    <w:rsid w:val="006A55E4"/>
    <w:rsid w:val="006B28F1"/>
    <w:rsid w:val="006C3D70"/>
    <w:rsid w:val="006C4609"/>
    <w:rsid w:val="006C5B4B"/>
    <w:rsid w:val="006D27CE"/>
    <w:rsid w:val="006D4991"/>
    <w:rsid w:val="006E2D6E"/>
    <w:rsid w:val="00705025"/>
    <w:rsid w:val="00711EA1"/>
    <w:rsid w:val="00712ACB"/>
    <w:rsid w:val="00715531"/>
    <w:rsid w:val="00715CF0"/>
    <w:rsid w:val="00724FEB"/>
    <w:rsid w:val="00732479"/>
    <w:rsid w:val="007350C6"/>
    <w:rsid w:val="007356A5"/>
    <w:rsid w:val="00746E3E"/>
    <w:rsid w:val="00750C1F"/>
    <w:rsid w:val="00754CC1"/>
    <w:rsid w:val="0075685C"/>
    <w:rsid w:val="007610C5"/>
    <w:rsid w:val="00763136"/>
    <w:rsid w:val="007843C4"/>
    <w:rsid w:val="00797A20"/>
    <w:rsid w:val="007A29F8"/>
    <w:rsid w:val="007B1B65"/>
    <w:rsid w:val="007B451F"/>
    <w:rsid w:val="007B7CB4"/>
    <w:rsid w:val="007C0E22"/>
    <w:rsid w:val="007D0E96"/>
    <w:rsid w:val="007D65E6"/>
    <w:rsid w:val="007E6C3F"/>
    <w:rsid w:val="007F2AD7"/>
    <w:rsid w:val="00805F70"/>
    <w:rsid w:val="00806701"/>
    <w:rsid w:val="008108C9"/>
    <w:rsid w:val="00811655"/>
    <w:rsid w:val="0081179D"/>
    <w:rsid w:val="00816C54"/>
    <w:rsid w:val="0083619B"/>
    <w:rsid w:val="00836A35"/>
    <w:rsid w:val="0084703E"/>
    <w:rsid w:val="00853724"/>
    <w:rsid w:val="0085796B"/>
    <w:rsid w:val="00894B78"/>
    <w:rsid w:val="008A7E77"/>
    <w:rsid w:val="008E21BD"/>
    <w:rsid w:val="008E3A9F"/>
    <w:rsid w:val="008F12A9"/>
    <w:rsid w:val="009347E3"/>
    <w:rsid w:val="009445F7"/>
    <w:rsid w:val="00950180"/>
    <w:rsid w:val="00960176"/>
    <w:rsid w:val="00963319"/>
    <w:rsid w:val="00965AB9"/>
    <w:rsid w:val="00980E6C"/>
    <w:rsid w:val="009839D7"/>
    <w:rsid w:val="00995C43"/>
    <w:rsid w:val="009B17F0"/>
    <w:rsid w:val="009B275B"/>
    <w:rsid w:val="009C6B01"/>
    <w:rsid w:val="009D488D"/>
    <w:rsid w:val="009D73C5"/>
    <w:rsid w:val="009E1D1D"/>
    <w:rsid w:val="00A12144"/>
    <w:rsid w:val="00A22041"/>
    <w:rsid w:val="00A308FA"/>
    <w:rsid w:val="00A32B2C"/>
    <w:rsid w:val="00A4419D"/>
    <w:rsid w:val="00A44A9B"/>
    <w:rsid w:val="00A50551"/>
    <w:rsid w:val="00A51A78"/>
    <w:rsid w:val="00A51ADD"/>
    <w:rsid w:val="00A5628D"/>
    <w:rsid w:val="00A61450"/>
    <w:rsid w:val="00A62DF6"/>
    <w:rsid w:val="00A64D8A"/>
    <w:rsid w:val="00A65D58"/>
    <w:rsid w:val="00A77A4F"/>
    <w:rsid w:val="00A800A8"/>
    <w:rsid w:val="00A80341"/>
    <w:rsid w:val="00A91B34"/>
    <w:rsid w:val="00A9329D"/>
    <w:rsid w:val="00A96874"/>
    <w:rsid w:val="00AA079A"/>
    <w:rsid w:val="00AA46A5"/>
    <w:rsid w:val="00AA48E7"/>
    <w:rsid w:val="00AB0B70"/>
    <w:rsid w:val="00AC016D"/>
    <w:rsid w:val="00AE2B0E"/>
    <w:rsid w:val="00AE671C"/>
    <w:rsid w:val="00B13089"/>
    <w:rsid w:val="00B23563"/>
    <w:rsid w:val="00B24C3C"/>
    <w:rsid w:val="00B27D2C"/>
    <w:rsid w:val="00B3518E"/>
    <w:rsid w:val="00B7030F"/>
    <w:rsid w:val="00BB43F0"/>
    <w:rsid w:val="00BC168C"/>
    <w:rsid w:val="00BD168A"/>
    <w:rsid w:val="00BD7159"/>
    <w:rsid w:val="00BE13C8"/>
    <w:rsid w:val="00BF274F"/>
    <w:rsid w:val="00BF7614"/>
    <w:rsid w:val="00C04D50"/>
    <w:rsid w:val="00C07EA2"/>
    <w:rsid w:val="00C1075D"/>
    <w:rsid w:val="00C10DCA"/>
    <w:rsid w:val="00C1655C"/>
    <w:rsid w:val="00C2764E"/>
    <w:rsid w:val="00C84F51"/>
    <w:rsid w:val="00C863E4"/>
    <w:rsid w:val="00C8777B"/>
    <w:rsid w:val="00CA5A29"/>
    <w:rsid w:val="00CB0418"/>
    <w:rsid w:val="00CF1AF0"/>
    <w:rsid w:val="00CF5E48"/>
    <w:rsid w:val="00D116B2"/>
    <w:rsid w:val="00D17217"/>
    <w:rsid w:val="00D279B3"/>
    <w:rsid w:val="00D70F1D"/>
    <w:rsid w:val="00D85394"/>
    <w:rsid w:val="00D86B3D"/>
    <w:rsid w:val="00D875A1"/>
    <w:rsid w:val="00D96547"/>
    <w:rsid w:val="00DB4149"/>
    <w:rsid w:val="00DB7F9C"/>
    <w:rsid w:val="00DC7E6A"/>
    <w:rsid w:val="00DD0BBA"/>
    <w:rsid w:val="00DD3013"/>
    <w:rsid w:val="00DF3619"/>
    <w:rsid w:val="00E03515"/>
    <w:rsid w:val="00E221F4"/>
    <w:rsid w:val="00E3191F"/>
    <w:rsid w:val="00E33714"/>
    <w:rsid w:val="00E5777E"/>
    <w:rsid w:val="00E85290"/>
    <w:rsid w:val="00E87767"/>
    <w:rsid w:val="00E9162A"/>
    <w:rsid w:val="00E936A6"/>
    <w:rsid w:val="00EA0D6C"/>
    <w:rsid w:val="00EA2029"/>
    <w:rsid w:val="00EB3F14"/>
    <w:rsid w:val="00EB7D34"/>
    <w:rsid w:val="00EC12A3"/>
    <w:rsid w:val="00EC1858"/>
    <w:rsid w:val="00ED01F1"/>
    <w:rsid w:val="00ED47FF"/>
    <w:rsid w:val="00EE2F38"/>
    <w:rsid w:val="00EE52A2"/>
    <w:rsid w:val="00EE708D"/>
    <w:rsid w:val="00F20FC1"/>
    <w:rsid w:val="00F429B5"/>
    <w:rsid w:val="00F434B7"/>
    <w:rsid w:val="00F54B56"/>
    <w:rsid w:val="00F717BF"/>
    <w:rsid w:val="00F863CD"/>
    <w:rsid w:val="00FA5F19"/>
    <w:rsid w:val="00FB0079"/>
    <w:rsid w:val="00FB1863"/>
    <w:rsid w:val="00FB2F34"/>
    <w:rsid w:val="00FB5D1B"/>
    <w:rsid w:val="00FB6BA2"/>
    <w:rsid w:val="00FC2048"/>
    <w:rsid w:val="00FC2832"/>
    <w:rsid w:val="00FC5498"/>
    <w:rsid w:val="00FC7A49"/>
    <w:rsid w:val="00FE4DFC"/>
    <w:rsid w:val="00FE5007"/>
    <w:rsid w:val="00FE5D39"/>
    <w:rsid w:val="00FE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D4"/>
    <w:pPr>
      <w:spacing w:after="160" w:line="259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22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1D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1DED"/>
    <w:rPr>
      <w:rFonts w:eastAsiaTheme="minorEastAsia"/>
      <w:b/>
      <w:bCs/>
      <w:color w:val="auto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81DED"/>
    <w:rPr>
      <w:i/>
      <w:iCs/>
    </w:rPr>
  </w:style>
  <w:style w:type="paragraph" w:styleId="a4">
    <w:name w:val="List Paragraph"/>
    <w:basedOn w:val="a"/>
    <w:link w:val="a5"/>
    <w:uiPriority w:val="34"/>
    <w:qFormat/>
    <w:rsid w:val="00481DED"/>
    <w:pPr>
      <w:ind w:left="720"/>
      <w:contextualSpacing/>
    </w:pPr>
  </w:style>
  <w:style w:type="paragraph" w:customStyle="1" w:styleId="Default">
    <w:name w:val="Default"/>
    <w:rsid w:val="002C1FD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6">
    <w:name w:val="No Spacing"/>
    <w:uiPriority w:val="1"/>
    <w:qFormat/>
    <w:rsid w:val="00AA46A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2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48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6ED4"/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48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6ED4"/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character" w:styleId="ab">
    <w:name w:val="Hyperlink"/>
    <w:basedOn w:val="a0"/>
    <w:uiPriority w:val="99"/>
    <w:unhideWhenUsed/>
    <w:rsid w:val="005C74E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42CE"/>
    <w:rPr>
      <w:rFonts w:ascii="Segoe UI" w:eastAsiaTheme="minorEastAsia" w:hAnsi="Segoe UI" w:cs="Segoe UI"/>
      <w:color w:val="auto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95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link w:val="a4"/>
    <w:uiPriority w:val="34"/>
    <w:locked/>
    <w:rsid w:val="00995C43"/>
    <w:rPr>
      <w:rFonts w:asciiTheme="minorHAnsi" w:eastAsiaTheme="minorEastAsia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BEBD-3225-4E25-8CB2-F558F351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14810</Words>
  <Characters>8442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regp2</cp:lastModifiedBy>
  <cp:revision>2</cp:revision>
  <cp:lastPrinted>2021-11-26T15:23:00Z</cp:lastPrinted>
  <dcterms:created xsi:type="dcterms:W3CDTF">2021-12-08T09:59:00Z</dcterms:created>
  <dcterms:modified xsi:type="dcterms:W3CDTF">2021-12-08T09:59:00Z</dcterms:modified>
</cp:coreProperties>
</file>