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E73" w:rsidRPr="00FB4894" w:rsidRDefault="00B34E73" w:rsidP="00734DA5">
      <w:pPr>
        <w:ind w:left="12474"/>
        <w:jc w:val="both"/>
        <w:rPr>
          <w:rFonts w:ascii="Times New Roman" w:hAnsi="Times New Roman"/>
          <w:sz w:val="22"/>
          <w:szCs w:val="22"/>
          <w:lang w:val="uk-UA"/>
        </w:rPr>
      </w:pPr>
      <w:r w:rsidRPr="00F41A48">
        <w:rPr>
          <w:rFonts w:ascii="Times New Roman" w:hAnsi="Times New Roman"/>
          <w:sz w:val="22"/>
          <w:szCs w:val="22"/>
          <w:lang w:val="uk-UA"/>
        </w:rPr>
        <w:t>Додаток</w:t>
      </w:r>
      <w:r>
        <w:rPr>
          <w:rFonts w:ascii="Times New Roman" w:hAnsi="Times New Roman"/>
          <w:sz w:val="22"/>
          <w:szCs w:val="22"/>
          <w:lang w:val="uk-UA"/>
        </w:rPr>
        <w:t xml:space="preserve"> 1</w:t>
      </w:r>
    </w:p>
    <w:p w:rsidR="00B34E73" w:rsidRPr="00F41A48" w:rsidRDefault="00B34E73" w:rsidP="00734DA5">
      <w:pPr>
        <w:ind w:left="12474"/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>до рішення  виконавчого комітету</w:t>
      </w:r>
      <w:r w:rsidRPr="00F41A48">
        <w:rPr>
          <w:rFonts w:ascii="Times New Roman" w:hAnsi="Times New Roman"/>
          <w:sz w:val="22"/>
          <w:szCs w:val="22"/>
          <w:lang w:val="uk-UA"/>
        </w:rPr>
        <w:t xml:space="preserve"> </w:t>
      </w:r>
    </w:p>
    <w:p w:rsidR="00B34E73" w:rsidRPr="00AA1E87" w:rsidRDefault="00B34E73" w:rsidP="00734DA5">
      <w:pPr>
        <w:ind w:left="12474"/>
        <w:jc w:val="both"/>
        <w:rPr>
          <w:rFonts w:ascii="Times New Roman" w:hAnsi="Times New Roman"/>
          <w:bCs/>
          <w:sz w:val="24"/>
        </w:rPr>
      </w:pPr>
      <w:r w:rsidRPr="00FE263F">
        <w:rPr>
          <w:rFonts w:ascii="Times New Roman" w:hAnsi="Times New Roman"/>
          <w:bCs/>
          <w:sz w:val="24"/>
          <w:lang w:val="uk-UA"/>
        </w:rPr>
        <w:t xml:space="preserve">від </w:t>
      </w:r>
      <w:r w:rsidR="000B776E">
        <w:rPr>
          <w:rFonts w:ascii="Times New Roman" w:hAnsi="Times New Roman"/>
          <w:bCs/>
          <w:sz w:val="24"/>
          <w:lang w:val="uk-UA"/>
        </w:rPr>
        <w:t>22.06.2022р.</w:t>
      </w:r>
      <w:r w:rsidRPr="00FE263F">
        <w:rPr>
          <w:rFonts w:ascii="Times New Roman" w:hAnsi="Times New Roman"/>
          <w:bCs/>
          <w:sz w:val="24"/>
          <w:lang w:val="uk-UA"/>
        </w:rPr>
        <w:t xml:space="preserve"> №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="000B776E">
        <w:rPr>
          <w:rFonts w:ascii="Times New Roman" w:hAnsi="Times New Roman"/>
          <w:bCs/>
          <w:sz w:val="24"/>
          <w:lang w:val="uk-UA"/>
        </w:rPr>
        <w:t>613</w:t>
      </w:r>
      <w:bookmarkStart w:id="0" w:name="_GoBack"/>
      <w:bookmarkEnd w:id="0"/>
    </w:p>
    <w:p w:rsidR="00B34E73" w:rsidRPr="00300B9C" w:rsidRDefault="00B34E73" w:rsidP="002953DD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300B9C"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  <w:t>Перелік</w:t>
      </w:r>
    </w:p>
    <w:p w:rsidR="00B34E73" w:rsidRDefault="00B34E73" w:rsidP="00300B9C">
      <w:pPr>
        <w:spacing w:line="204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завдань і заходів міської  Програми </w:t>
      </w:r>
      <w:r w:rsidRPr="00300B9C">
        <w:rPr>
          <w:rFonts w:ascii="Times New Roman" w:hAnsi="Times New Roman"/>
          <w:b/>
          <w:sz w:val="28"/>
          <w:szCs w:val="28"/>
          <w:lang w:val="uk-UA"/>
        </w:rPr>
        <w:t>впровадження системи енергетичного менеджменту</w:t>
      </w:r>
      <w:r w:rsidRPr="00300B9C">
        <w:rPr>
          <w:rFonts w:ascii="Times New Roman" w:hAnsi="Times New Roman"/>
          <w:b/>
          <w:sz w:val="28"/>
          <w:szCs w:val="28"/>
        </w:rPr>
        <w:t xml:space="preserve"> </w:t>
      </w:r>
    </w:p>
    <w:p w:rsidR="00B34E73" w:rsidRDefault="00B34E73" w:rsidP="00300B9C">
      <w:pPr>
        <w:spacing w:line="204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0B9C">
        <w:rPr>
          <w:rFonts w:ascii="Times New Roman" w:hAnsi="Times New Roman"/>
          <w:b/>
          <w:sz w:val="28"/>
          <w:szCs w:val="28"/>
          <w:lang w:val="uk-UA"/>
        </w:rPr>
        <w:t>в м. Павлоград на 201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300B9C">
        <w:rPr>
          <w:rFonts w:ascii="Times New Roman" w:hAnsi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300B9C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B34E73" w:rsidRPr="00300B9C" w:rsidRDefault="00B34E73" w:rsidP="00300B9C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15886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"/>
        <w:gridCol w:w="1592"/>
        <w:gridCol w:w="2178"/>
        <w:gridCol w:w="1082"/>
        <w:gridCol w:w="2268"/>
        <w:gridCol w:w="1134"/>
        <w:gridCol w:w="851"/>
        <w:gridCol w:w="851"/>
        <w:gridCol w:w="850"/>
        <w:gridCol w:w="851"/>
        <w:gridCol w:w="992"/>
        <w:gridCol w:w="2834"/>
      </w:tblGrid>
      <w:tr w:rsidR="00B34E73" w:rsidRPr="00300B9C" w:rsidTr="006C36A0">
        <w:trPr>
          <w:trHeight w:val="1461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300B9C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300B9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Строк</w:t>
            </w:r>
          </w:p>
          <w:p w:rsidR="00B34E73" w:rsidRPr="00300B9C" w:rsidRDefault="00B34E73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виконання</w:t>
            </w:r>
          </w:p>
          <w:p w:rsidR="00B34E73" w:rsidRPr="00300B9C" w:rsidRDefault="00B34E73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300B9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Джерела</w:t>
            </w:r>
          </w:p>
          <w:p w:rsidR="00B34E73" w:rsidRPr="00300B9C" w:rsidRDefault="00B34E73" w:rsidP="00A73F05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6C36A0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Орієнтовні обсяги фінансування (вартість),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грн.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B34E73" w:rsidRPr="00300B9C" w:rsidTr="006C36A0">
        <w:trPr>
          <w:trHeight w:hRule="exact" w:val="235"/>
        </w:trPr>
        <w:tc>
          <w:tcPr>
            <w:tcW w:w="4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34E73" w:rsidRPr="00300B9C" w:rsidRDefault="00B34E73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34E73" w:rsidRPr="00300B9C" w:rsidRDefault="00B34E73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34E73" w:rsidRPr="00300B9C" w:rsidRDefault="00B34E73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34E73" w:rsidRPr="00300B9C" w:rsidRDefault="00B34E73" w:rsidP="00661C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34E73" w:rsidRPr="00300B9C" w:rsidRDefault="00B34E73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34E73" w:rsidRPr="00300B9C" w:rsidRDefault="00B34E73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Default="00B34E73" w:rsidP="006C36A0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2018р.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2019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2021р.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2022р.</w:t>
            </w: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300B9C" w:rsidRDefault="00B34E73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4E73" w:rsidRPr="00300B9C" w:rsidTr="006C36A0">
        <w:trPr>
          <w:trHeight w:hRule="exact" w:val="235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661C01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B874AA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B874AA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B874AA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B874AA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B874AA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12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6C36A0" w:rsidRDefault="00B34E73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</w:tr>
      <w:tr w:rsidR="00B34E73" w:rsidRPr="00300B9C" w:rsidTr="006C36A0">
        <w:trPr>
          <w:trHeight w:val="1593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661C01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Забезпечення моніторингу споживання ПЕР бюджетними установами, організаціями та комунальними підприємствами міста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Default="00B34E73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Абонентське обслуговування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системи енергомоніторингу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</w:p>
          <w:p w:rsidR="00B34E73" w:rsidRPr="00300B9C" w:rsidRDefault="00B34E73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0A4D46">
            <w:pPr>
              <w:pStyle w:val="110"/>
              <w:shd w:val="clear" w:color="auto" w:fill="auto"/>
              <w:spacing w:after="6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201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22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B03AD9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Відділ 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B34E73" w:rsidRPr="00D57CF1" w:rsidRDefault="00B34E73" w:rsidP="00AB5D51">
            <w:pPr>
              <w:snapToGrid w:val="0"/>
              <w:ind w:left="132" w:right="132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EE023B" w:rsidRDefault="00B34E73" w:rsidP="00AB5D51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EE023B" w:rsidRDefault="00B34E73" w:rsidP="00AB5D51">
            <w:pPr>
              <w:ind w:left="132" w:right="132"/>
              <w:jc w:val="center"/>
              <w:rPr>
                <w:b/>
              </w:rPr>
            </w:pPr>
            <w:r w:rsidRPr="00EE023B">
              <w:rPr>
                <w:rStyle w:val="119pt"/>
                <w:b w:val="0"/>
                <w:bCs w:val="0"/>
              </w:rPr>
              <w:t>7200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BA42D6" w:rsidRDefault="00B34E73" w:rsidP="00EE023B">
            <w:pPr>
              <w:jc w:val="center"/>
              <w:rPr>
                <w:b/>
              </w:rPr>
            </w:pPr>
            <w:r>
              <w:rPr>
                <w:rStyle w:val="119pt"/>
                <w:b w:val="0"/>
                <w:bCs w:val="0"/>
                <w:color w:val="auto"/>
              </w:rPr>
              <w:t>8640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Default="00B34E73" w:rsidP="00EE023B">
            <w:pPr>
              <w:jc w:val="center"/>
              <w:rPr>
                <w:rStyle w:val="119pt"/>
                <w:b w:val="0"/>
                <w:bCs w:val="0"/>
                <w:color w:val="auto"/>
              </w:rPr>
            </w:pPr>
            <w:r>
              <w:rPr>
                <w:rStyle w:val="119pt"/>
                <w:b w:val="0"/>
                <w:bCs w:val="0"/>
                <w:color w:val="auto"/>
              </w:rPr>
              <w:t>10368</w:t>
            </w:r>
          </w:p>
          <w:p w:rsidR="00B34E73" w:rsidRPr="00BA42D6" w:rsidRDefault="00B34E73" w:rsidP="00EE023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Default="00B34E73" w:rsidP="007E4E0D">
            <w:pPr>
              <w:jc w:val="center"/>
              <w:rPr>
                <w:rStyle w:val="119pt"/>
                <w:b w:val="0"/>
                <w:bCs w:val="0"/>
                <w:color w:val="auto"/>
              </w:rPr>
            </w:pPr>
            <w:r>
              <w:rPr>
                <w:rStyle w:val="119pt"/>
                <w:b w:val="0"/>
                <w:bCs w:val="0"/>
                <w:color w:val="auto"/>
              </w:rPr>
              <w:t>12960</w:t>
            </w:r>
          </w:p>
          <w:p w:rsidR="00B34E73" w:rsidRPr="00BA42D6" w:rsidRDefault="00B34E73" w:rsidP="007E4E0D">
            <w:pPr>
              <w:jc w:val="center"/>
              <w:rPr>
                <w:b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забезпечення прозорості та достовірності щодо використання ПЕР;</w:t>
            </w:r>
          </w:p>
          <w:p w:rsidR="00B34E73" w:rsidRPr="00BA42D6" w:rsidRDefault="00B34E73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оперативний контроль та аналіз ефективності використання ПЕР;</w:t>
            </w:r>
          </w:p>
          <w:p w:rsidR="00B34E73" w:rsidRPr="00BA42D6" w:rsidRDefault="00B34E73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оптимізація споживання енергетичних ресурсів в будівлях бюджетних установ, організацій та комунальних підприємств.</w:t>
            </w:r>
          </w:p>
        </w:tc>
      </w:tr>
      <w:tr w:rsidR="00B34E73" w:rsidRPr="00300B9C" w:rsidTr="006C36A0">
        <w:trPr>
          <w:trHeight w:val="1971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73F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661C01">
            <w:pPr>
              <w:ind w:left="23" w:right="13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Проведення навчань  з відповідальними особами по роботі з програмою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системи енергомоніторингу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4D3284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201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22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B03AD9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Відділ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відповідальні особи по роботі з програмою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системи енергомоніторингу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B34E73" w:rsidRPr="00D57CF1" w:rsidRDefault="00B34E73" w:rsidP="00AB5D51">
            <w:pPr>
              <w:snapToGrid w:val="0"/>
              <w:ind w:left="132" w:right="132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Default="00B34E73" w:rsidP="004A3D3D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753B54" w:rsidRDefault="00B34E73" w:rsidP="004A3D3D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4A3D3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4A3D3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7E4E0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4D3284">
            <w:pPr>
              <w:tabs>
                <w:tab w:val="left" w:pos="273"/>
              </w:tabs>
              <w:ind w:right="131" w:firstLine="13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4E73" w:rsidRPr="00300B9C" w:rsidTr="006C36A0">
        <w:trPr>
          <w:trHeight w:val="1273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73F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661C01">
            <w:pPr>
              <w:ind w:left="23" w:right="13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Default="00B34E73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Технічний супровід програми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системи енергомоніторингу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, внесення корегувань та доповнень</w:t>
            </w:r>
          </w:p>
          <w:p w:rsidR="00B34E73" w:rsidRDefault="00B34E73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B34E73" w:rsidRDefault="00B34E73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B34E73" w:rsidRDefault="00B34E73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B34E73" w:rsidRDefault="00B34E73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B34E73" w:rsidRPr="00300B9C" w:rsidRDefault="00B34E73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4D3284">
            <w:pPr>
              <w:pStyle w:val="110"/>
              <w:shd w:val="clear" w:color="auto" w:fill="auto"/>
              <w:spacing w:before="6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201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22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B03AD9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Відділ 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B34E73" w:rsidRPr="00D57CF1" w:rsidRDefault="00B34E73" w:rsidP="00AB5D51">
            <w:pPr>
              <w:snapToGrid w:val="0"/>
              <w:ind w:left="132" w:right="132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Default="00B34E73" w:rsidP="00AB5D51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753B54" w:rsidRDefault="00B34E73" w:rsidP="00AB5D51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7E4E0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4D3284">
            <w:pPr>
              <w:tabs>
                <w:tab w:val="left" w:pos="273"/>
              </w:tabs>
              <w:ind w:right="131" w:firstLine="13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4E73" w:rsidRPr="00300B9C" w:rsidTr="006C36A0">
        <w:trPr>
          <w:trHeight w:hRule="exact" w:val="3837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300B9C" w:rsidRDefault="00B34E73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300B9C" w:rsidRDefault="00B34E73" w:rsidP="00661C01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Проведення</w:t>
            </w:r>
          </w:p>
          <w:p w:rsidR="00B34E73" w:rsidRPr="00300B9C" w:rsidRDefault="00B34E73" w:rsidP="00661C01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і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нформаційно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</w:t>
            </w:r>
          </w:p>
          <w:p w:rsidR="00B34E73" w:rsidRPr="00300B9C" w:rsidRDefault="00B34E73" w:rsidP="00661C01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просвітницької</w:t>
            </w:r>
          </w:p>
          <w:p w:rsidR="00B34E73" w:rsidRPr="00300B9C" w:rsidRDefault="00B34E73" w:rsidP="00661C01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роботи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CD4AF8">
            <w:pPr>
              <w:pStyle w:val="110"/>
              <w:shd w:val="clear" w:color="auto" w:fill="auto"/>
              <w:spacing w:line="240" w:lineRule="auto"/>
              <w:ind w:left="131" w:right="4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Організація проведення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семінарів з питань енергозбереження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та енергоефективності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4D3284">
            <w:pPr>
              <w:pStyle w:val="110"/>
              <w:shd w:val="clear" w:color="auto" w:fill="auto"/>
              <w:spacing w:before="6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201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22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42601F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Відділ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відділ залучення інвестицій та регуляторної політики Павлоградської міської ради, управління комунального господарства та будівництва,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громадські організації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(за згодою)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before="60"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977D10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977D10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 w:rsidRPr="00977D10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BA42D6" w:rsidRDefault="00B34E73" w:rsidP="00977D10">
            <w:pPr>
              <w:jc w:val="center"/>
              <w:rPr>
                <w:rFonts w:ascii="Times New Roman" w:hAnsi="Times New Roman"/>
              </w:rPr>
            </w:pP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F318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3940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7E4E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4D3284">
            <w:pPr>
              <w:pStyle w:val="110"/>
              <w:numPr>
                <w:ilvl w:val="0"/>
                <w:numId w:val="2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підвищення знань в сфері енергозбереження та енергоефективності;</w:t>
            </w:r>
          </w:p>
          <w:p w:rsidR="00B34E73" w:rsidRPr="00BA42D6" w:rsidRDefault="00B34E73" w:rsidP="004D3284">
            <w:pPr>
              <w:pStyle w:val="110"/>
              <w:numPr>
                <w:ilvl w:val="0"/>
                <w:numId w:val="2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розповсюдження інформації про шляхи та методи впровадження енергоефективних заходів;</w:t>
            </w:r>
          </w:p>
          <w:p w:rsidR="00B34E73" w:rsidRPr="00BA42D6" w:rsidRDefault="00B34E73" w:rsidP="00977D10">
            <w:pPr>
              <w:pStyle w:val="110"/>
              <w:numPr>
                <w:ilvl w:val="0"/>
                <w:numId w:val="2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rStyle w:val="119pt"/>
                <w:b w:val="0"/>
                <w:bCs w:val="0"/>
                <w:color w:val="auto"/>
                <w:sz w:val="20"/>
                <w:szCs w:val="20"/>
                <w:shd w:val="clear" w:color="auto" w:fill="auto"/>
                <w:lang w:val="ru-RU" w:eastAsia="en-US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виховання енергоефективної та енергоощадної свідомості та культури;</w:t>
            </w:r>
          </w:p>
          <w:p w:rsidR="00B34E73" w:rsidRPr="00BA42D6" w:rsidRDefault="00B34E73" w:rsidP="00977D10">
            <w:pPr>
              <w:pStyle w:val="110"/>
              <w:numPr>
                <w:ilvl w:val="0"/>
                <w:numId w:val="2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економія енергоресурсів до 5%.</w:t>
            </w:r>
          </w:p>
        </w:tc>
      </w:tr>
      <w:tr w:rsidR="00B34E73" w:rsidRPr="00300B9C" w:rsidTr="006C36A0">
        <w:trPr>
          <w:trHeight w:val="2390"/>
        </w:trPr>
        <w:tc>
          <w:tcPr>
            <w:tcW w:w="4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661C01">
            <w:pPr>
              <w:ind w:left="23" w:right="13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300B9C" w:rsidRDefault="00B34E73" w:rsidP="00753B54">
            <w:pPr>
              <w:pStyle w:val="110"/>
              <w:shd w:val="clear" w:color="auto" w:fill="auto"/>
              <w:spacing w:line="240" w:lineRule="auto"/>
              <w:ind w:left="131" w:right="42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Проведення інформаційних заходів для учнів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загальноосвітніх шкіл та вихованців дитячих навчальних закладів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 питань енергозбереження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300B9C" w:rsidRDefault="00B34E73" w:rsidP="004D3284">
            <w:pPr>
              <w:pStyle w:val="110"/>
              <w:shd w:val="clear" w:color="auto" w:fill="auto"/>
              <w:spacing w:before="6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201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22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300B9C" w:rsidRDefault="00B34E73" w:rsidP="00B03AD9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smartTag w:uri="urn:schemas-microsoft-com:office:smarttags" w:element="PersonName">
              <w:r w:rsidRPr="00300B9C">
                <w:rPr>
                  <w:rStyle w:val="119pt"/>
                  <w:b w:val="0"/>
                  <w:bCs w:val="0"/>
                  <w:sz w:val="20"/>
                  <w:szCs w:val="20"/>
                </w:rPr>
                <w:t>Відділ освіти</w:t>
              </w:r>
            </w:smartTag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відділ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 w:rsidRPr="00753B54">
              <w:rPr>
                <w:rFonts w:cs="Arial"/>
                <w:sz w:val="20"/>
                <w:szCs w:val="20"/>
              </w:rPr>
              <w:t>П</w:t>
            </w:r>
            <w:r>
              <w:rPr>
                <w:rFonts w:cs="Arial"/>
                <w:sz w:val="20"/>
                <w:szCs w:val="20"/>
                <w:lang w:val="uk-UA"/>
              </w:rPr>
              <w:t>р</w:t>
            </w:r>
            <w:r w:rsidRPr="00753B54">
              <w:rPr>
                <w:rFonts w:cs="Arial"/>
                <w:sz w:val="20"/>
                <w:szCs w:val="20"/>
              </w:rPr>
              <w:t>АТ «ДТЕК Павлоградвугілля»</w:t>
            </w:r>
            <w:r w:rsidRPr="00753B54">
              <w:rPr>
                <w:rStyle w:val="WW-Absatz-Standardschriftart11111"/>
                <w:b/>
                <w:bCs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(за згодою),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громадськ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організаці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ї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(за згодою)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before="60"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595216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AB124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en-US"/>
              </w:rPr>
            </w:pPr>
            <w:r w:rsidRPr="00AB124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BA42D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119pt"/>
                <w:b w:val="0"/>
                <w:bCs w:val="0"/>
                <w:color w:val="auto"/>
                <w:sz w:val="20"/>
                <w:szCs w:val="20"/>
                <w:lang w:val="en-US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7E4E0D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119pt"/>
                <w:b w:val="0"/>
                <w:bCs w:val="0"/>
                <w:color w:val="auto"/>
                <w:sz w:val="20"/>
                <w:szCs w:val="20"/>
                <w:lang w:val="en-US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  <w:lang w:val="en-US"/>
              </w:rPr>
              <w:t>-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A73F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4E73" w:rsidRPr="00300B9C" w:rsidTr="006C36A0">
        <w:trPr>
          <w:trHeight w:hRule="exact" w:val="2847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661C01">
            <w:pPr>
              <w:ind w:left="23" w:right="13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753B54">
            <w:pPr>
              <w:pStyle w:val="110"/>
              <w:shd w:val="clear" w:color="auto" w:fill="auto"/>
              <w:spacing w:line="240" w:lineRule="auto"/>
              <w:ind w:left="131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Організація проведення навчальних екскурсій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з</w:t>
            </w:r>
          </w:p>
          <w:p w:rsidR="00B34E73" w:rsidRPr="00300B9C" w:rsidRDefault="00B34E73" w:rsidP="00977D10">
            <w:pPr>
              <w:pStyle w:val="110"/>
              <w:shd w:val="clear" w:color="auto" w:fill="auto"/>
              <w:spacing w:line="240" w:lineRule="auto"/>
              <w:ind w:left="131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е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нергозбереження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на підприємства міста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для учнів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навчальних закладів (послуги з транспортного перевезення дітей)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4D3284">
            <w:pPr>
              <w:pStyle w:val="110"/>
              <w:shd w:val="clear" w:color="auto" w:fill="auto"/>
              <w:spacing w:before="6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201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22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smartTag w:uri="urn:schemas-microsoft-com:office:smarttags" w:element="PersonName">
              <w:r w:rsidRPr="00300B9C">
                <w:rPr>
                  <w:rStyle w:val="119pt"/>
                  <w:b w:val="0"/>
                  <w:bCs w:val="0"/>
                  <w:sz w:val="20"/>
                  <w:szCs w:val="20"/>
                </w:rPr>
                <w:t>Відділ освіти</w:t>
              </w:r>
            </w:smartTag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відділ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, підприємства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 постачальники ПЕР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(за згодою)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 w:rsidRPr="00753B54">
              <w:rPr>
                <w:rFonts w:cs="Arial"/>
                <w:sz w:val="20"/>
                <w:szCs w:val="20"/>
              </w:rPr>
              <w:t>П</w:t>
            </w:r>
            <w:r>
              <w:rPr>
                <w:rFonts w:cs="Arial"/>
                <w:sz w:val="20"/>
                <w:szCs w:val="20"/>
                <w:lang w:val="uk-UA"/>
              </w:rPr>
              <w:t>р</w:t>
            </w:r>
            <w:r w:rsidRPr="00753B54">
              <w:rPr>
                <w:rFonts w:cs="Arial"/>
                <w:sz w:val="20"/>
                <w:szCs w:val="20"/>
              </w:rPr>
              <w:t>АТ «ДТЕК Павлоградвугілля»</w:t>
            </w:r>
            <w:r w:rsidRPr="00753B54">
              <w:rPr>
                <w:rStyle w:val="WW-Absatz-Standardschriftart11111"/>
                <w:b/>
                <w:bCs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(за згодою),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ЗМІ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(за згодою)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977D10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977D10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BA42D6" w:rsidRDefault="00B34E73" w:rsidP="00977D10">
            <w:pPr>
              <w:jc w:val="center"/>
              <w:rPr>
                <w:rFonts w:ascii="Times New Roman" w:hAnsi="Times New Roman"/>
              </w:rPr>
            </w:pP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4500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9E4830" w:rsidRDefault="00B34E73" w:rsidP="00B15C88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0621A0" w:rsidRDefault="00B34E73" w:rsidP="00166544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A73F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4E73" w:rsidRPr="00300B9C" w:rsidTr="00156A83">
        <w:trPr>
          <w:trHeight w:hRule="exact" w:val="2986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pStyle w:val="110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  <w:vAlign w:val="center"/>
          </w:tcPr>
          <w:p w:rsidR="00B34E73" w:rsidRPr="00300B9C" w:rsidRDefault="00B34E73" w:rsidP="00753B54">
            <w:pPr>
              <w:ind w:left="23" w:right="13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753B54" w:rsidRDefault="00B34E73" w:rsidP="00EB1E22">
            <w:pPr>
              <w:pStyle w:val="110"/>
              <w:shd w:val="clear" w:color="auto" w:fill="auto"/>
              <w:spacing w:line="230" w:lineRule="exact"/>
              <w:ind w:lef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Організація та п</w:t>
            </w:r>
            <w:r w:rsidRPr="00753B54">
              <w:rPr>
                <w:rStyle w:val="119pt"/>
                <w:b w:val="0"/>
                <w:bCs w:val="0"/>
                <w:sz w:val="20"/>
                <w:szCs w:val="20"/>
              </w:rPr>
              <w:t xml:space="preserve">роведення конкурсу відеороликів на тему енергозбереження серед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учнів </w:t>
            </w:r>
            <w:r w:rsidRPr="00753B54">
              <w:rPr>
                <w:rStyle w:val="119pt"/>
                <w:b w:val="0"/>
                <w:bCs w:val="0"/>
                <w:sz w:val="20"/>
                <w:szCs w:val="20"/>
              </w:rPr>
              <w:t>навчальних закладів міста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64403A">
            <w:pPr>
              <w:pStyle w:val="110"/>
              <w:shd w:val="clear" w:color="auto" w:fill="auto"/>
              <w:spacing w:before="6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201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22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smartTag w:uri="urn:schemas-microsoft-com:office:smarttags" w:element="PersonName">
              <w:r w:rsidRPr="00300B9C">
                <w:rPr>
                  <w:rStyle w:val="119pt"/>
                  <w:b w:val="0"/>
                  <w:bCs w:val="0"/>
                  <w:sz w:val="20"/>
                  <w:szCs w:val="20"/>
                </w:rPr>
                <w:t>Відділ освіти</w:t>
              </w:r>
            </w:smartTag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відділ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, підприємства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 постачальники ПЕР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(за згодою)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ПТРК (за згодою), </w:t>
            </w:r>
            <w:r w:rsidRPr="00753B54">
              <w:rPr>
                <w:rFonts w:cs="Arial"/>
                <w:sz w:val="20"/>
                <w:szCs w:val="20"/>
              </w:rPr>
              <w:t>П</w:t>
            </w:r>
            <w:r>
              <w:rPr>
                <w:rFonts w:cs="Arial"/>
                <w:sz w:val="20"/>
                <w:szCs w:val="20"/>
                <w:lang w:val="uk-UA"/>
              </w:rPr>
              <w:t>р</w:t>
            </w:r>
            <w:r w:rsidRPr="00753B54">
              <w:rPr>
                <w:rFonts w:cs="Arial"/>
                <w:sz w:val="20"/>
                <w:szCs w:val="20"/>
              </w:rPr>
              <w:t>АТ «ДТЕК Павлоградвугілля»</w:t>
            </w:r>
            <w:r w:rsidRPr="00753B54">
              <w:rPr>
                <w:rStyle w:val="WW-Absatz-Standardschriftart11111"/>
                <w:b/>
                <w:bCs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(за згодою),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ЗМІ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(за згодою)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977D10" w:rsidRDefault="00B34E73" w:rsidP="004A3D3D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977D10" w:rsidRDefault="00B34E73" w:rsidP="00AC2CA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BA42D6" w:rsidRDefault="00B34E73" w:rsidP="000112FA">
            <w:pPr>
              <w:jc w:val="center"/>
              <w:rPr>
                <w:rFonts w:ascii="Times New Roman" w:hAnsi="Times New Roman"/>
              </w:rPr>
            </w:pP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AC2C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22450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1665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4D3284">
            <w:pPr>
              <w:pStyle w:val="110"/>
              <w:numPr>
                <w:ilvl w:val="0"/>
                <w:numId w:val="2"/>
              </w:numPr>
              <w:tabs>
                <w:tab w:val="left" w:pos="273"/>
              </w:tabs>
              <w:spacing w:line="240" w:lineRule="auto"/>
              <w:ind w:right="131" w:firstLine="132"/>
              <w:rPr>
                <w:sz w:val="20"/>
                <w:szCs w:val="20"/>
              </w:rPr>
            </w:pPr>
            <w:r w:rsidRPr="00BA42D6">
              <w:rPr>
                <w:sz w:val="20"/>
                <w:szCs w:val="20"/>
                <w:lang w:val="uk-UA"/>
              </w:rPr>
              <w:t>популяризація енергоефективності та енергозбереження серед молоді міста;</w:t>
            </w:r>
          </w:p>
          <w:p w:rsidR="00B34E73" w:rsidRPr="00BA42D6" w:rsidRDefault="00B34E73" w:rsidP="004D3284">
            <w:pPr>
              <w:pStyle w:val="110"/>
              <w:numPr>
                <w:ilvl w:val="0"/>
                <w:numId w:val="2"/>
              </w:numPr>
              <w:tabs>
                <w:tab w:val="left" w:pos="273"/>
              </w:tabs>
              <w:spacing w:line="240" w:lineRule="auto"/>
              <w:ind w:right="131" w:firstLine="132"/>
              <w:rPr>
                <w:sz w:val="20"/>
                <w:szCs w:val="20"/>
              </w:rPr>
            </w:pPr>
            <w:r w:rsidRPr="00BA42D6">
              <w:rPr>
                <w:sz w:val="20"/>
                <w:szCs w:val="20"/>
                <w:lang w:val="uk-UA"/>
              </w:rPr>
              <w:t>отримання нових ідей в області енергоефективності та енергозбереження.</w:t>
            </w:r>
          </w:p>
        </w:tc>
      </w:tr>
      <w:tr w:rsidR="00B34E73" w:rsidRPr="00300B9C" w:rsidTr="006C36A0">
        <w:trPr>
          <w:trHeight w:hRule="exact" w:val="3261"/>
        </w:trPr>
        <w:tc>
          <w:tcPr>
            <w:tcW w:w="403" w:type="dxa"/>
            <w:vMerge w:val="restart"/>
            <w:tcBorders>
              <w:top w:val="single" w:sz="4" w:space="0" w:color="FFFFFF"/>
              <w:lef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pStyle w:val="110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FFFFFF"/>
              <w:lef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753B54">
            <w:pPr>
              <w:ind w:left="23" w:right="13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753B54" w:rsidRDefault="00B34E73" w:rsidP="00EB1E22">
            <w:pPr>
              <w:pStyle w:val="110"/>
              <w:shd w:val="clear" w:color="auto" w:fill="auto"/>
              <w:spacing w:line="230" w:lineRule="exact"/>
              <w:ind w:lef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Організація та п</w:t>
            </w:r>
            <w:r w:rsidRPr="00753B54">
              <w:rPr>
                <w:rStyle w:val="119pt"/>
                <w:b w:val="0"/>
                <w:bCs w:val="0"/>
                <w:sz w:val="20"/>
                <w:szCs w:val="20"/>
              </w:rPr>
              <w:t>роведення конкурс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ів</w:t>
            </w:r>
            <w:r w:rsidRPr="00753B54">
              <w:rPr>
                <w:rStyle w:val="119pt"/>
                <w:b w:val="0"/>
                <w:bCs w:val="0"/>
                <w:sz w:val="20"/>
                <w:szCs w:val="20"/>
              </w:rPr>
              <w:t xml:space="preserve"> на тему енергозбереження та енергоефективності</w:t>
            </w:r>
            <w:r w:rsidRPr="00AB124C">
              <w:rPr>
                <w:sz w:val="20"/>
                <w:szCs w:val="20"/>
                <w:lang w:val="uk-UA"/>
              </w:rPr>
              <w:t xml:space="preserve"> та забезпечення комплексу</w:t>
            </w:r>
            <w:r w:rsidRPr="00456661">
              <w:rPr>
                <w:sz w:val="28"/>
                <w:szCs w:val="28"/>
                <w:lang w:val="uk-UA"/>
              </w:rPr>
              <w:t xml:space="preserve"> </w:t>
            </w:r>
            <w:r w:rsidRPr="00AB124C">
              <w:rPr>
                <w:sz w:val="20"/>
                <w:szCs w:val="20"/>
                <w:lang w:val="uk-UA"/>
              </w:rPr>
              <w:t>заходів з нагоди</w:t>
            </w:r>
            <w:r w:rsidRPr="0045666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Днів сталої енергії в м. Павлограді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124C">
            <w:pPr>
              <w:pStyle w:val="110"/>
              <w:shd w:val="clear" w:color="auto" w:fill="auto"/>
              <w:spacing w:before="6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201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22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smartTag w:uri="urn:schemas-microsoft-com:office:smarttags" w:element="PersonName">
              <w:r w:rsidRPr="00300B9C">
                <w:rPr>
                  <w:rStyle w:val="119pt"/>
                  <w:b w:val="0"/>
                  <w:bCs w:val="0"/>
                  <w:sz w:val="20"/>
                  <w:szCs w:val="20"/>
                </w:rPr>
                <w:t>Відділ освіти</w:t>
              </w:r>
            </w:smartTag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відділ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 w:rsidRPr="00753B54">
              <w:rPr>
                <w:rFonts w:cs="Arial"/>
                <w:sz w:val="20"/>
                <w:szCs w:val="20"/>
              </w:rPr>
              <w:t>П</w:t>
            </w:r>
            <w:r>
              <w:rPr>
                <w:rFonts w:cs="Arial"/>
                <w:sz w:val="20"/>
                <w:szCs w:val="20"/>
                <w:lang w:val="uk-UA"/>
              </w:rPr>
              <w:t>р</w:t>
            </w:r>
            <w:r w:rsidRPr="00753B54">
              <w:rPr>
                <w:rFonts w:cs="Arial"/>
                <w:sz w:val="20"/>
                <w:szCs w:val="20"/>
              </w:rPr>
              <w:t>АТ «ДТЕК Павлоградвугілля»</w:t>
            </w:r>
            <w:r w:rsidRPr="00753B54">
              <w:rPr>
                <w:rStyle w:val="WW-Absatz-Standardschriftart11111"/>
                <w:b/>
                <w:bCs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(за згодою),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громадськ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організаці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ї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(за згодою),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підприємства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 постачальники ПЕР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(за згодою)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, ЗМІ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(за згодою)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5E61BA" w:rsidRDefault="00B34E73" w:rsidP="005E61BA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5E61BA" w:rsidRDefault="00B34E73" w:rsidP="005E6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BA">
              <w:rPr>
                <w:rFonts w:ascii="Times New Roman" w:hAnsi="Times New Roman"/>
                <w:sz w:val="20"/>
                <w:szCs w:val="20"/>
                <w:lang w:val="uk-UA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BA42D6" w:rsidRDefault="00B34E73" w:rsidP="005E6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15870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5E6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17160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1665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34" w:type="dxa"/>
            <w:vMerge w:val="restart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595216">
            <w:pPr>
              <w:pStyle w:val="110"/>
              <w:tabs>
                <w:tab w:val="left" w:pos="273"/>
              </w:tabs>
              <w:spacing w:line="240" w:lineRule="auto"/>
              <w:ind w:left="132" w:right="131" w:firstLine="0"/>
              <w:rPr>
                <w:sz w:val="20"/>
                <w:szCs w:val="20"/>
              </w:rPr>
            </w:pPr>
          </w:p>
        </w:tc>
      </w:tr>
      <w:tr w:rsidR="00B34E73" w:rsidRPr="00300B9C" w:rsidTr="006C36A0">
        <w:trPr>
          <w:trHeight w:hRule="exact" w:val="1422"/>
        </w:trPr>
        <w:tc>
          <w:tcPr>
            <w:tcW w:w="4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661C01">
            <w:pPr>
              <w:ind w:left="23" w:right="13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937267">
            <w:pPr>
              <w:pStyle w:val="110"/>
              <w:shd w:val="clear" w:color="auto" w:fill="auto"/>
              <w:spacing w:line="240" w:lineRule="auto"/>
              <w:ind w:left="131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Виготовлення інформаційно-просвітницьких матеріалів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124C">
            <w:pPr>
              <w:pStyle w:val="110"/>
              <w:shd w:val="clear" w:color="auto" w:fill="auto"/>
              <w:spacing w:before="6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201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22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B03AD9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ідділ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5E61BA" w:rsidRDefault="00B34E73" w:rsidP="005E61BA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5E61BA" w:rsidRDefault="00B34E73" w:rsidP="005E6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BA">
              <w:rPr>
                <w:rFonts w:ascii="Times New Roman" w:hAnsi="Times New Roman"/>
                <w:sz w:val="20"/>
                <w:szCs w:val="20"/>
                <w:lang w:val="uk-UA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BA42D6" w:rsidRDefault="00B34E73" w:rsidP="005E6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5E6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7E4E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A73F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4E73" w:rsidRPr="00300B9C" w:rsidTr="006C36A0">
        <w:trPr>
          <w:trHeight w:hRule="exact" w:val="2125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A73F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661C01">
            <w:pPr>
              <w:ind w:left="23" w:right="13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17698E" w:rsidRDefault="00B34E73" w:rsidP="0017698E">
            <w:pPr>
              <w:pStyle w:val="110"/>
              <w:shd w:val="clear" w:color="auto" w:fill="auto"/>
              <w:spacing w:line="240" w:lineRule="auto"/>
              <w:ind w:left="131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17698E">
              <w:rPr>
                <w:rStyle w:val="119pt"/>
                <w:b w:val="0"/>
                <w:bCs w:val="0"/>
                <w:sz w:val="20"/>
                <w:szCs w:val="20"/>
              </w:rPr>
              <w:t>Розповсюдження інформації про заходи з енергозбереження та енергоефективності в ЗМІ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124C">
            <w:pPr>
              <w:pStyle w:val="110"/>
              <w:shd w:val="clear" w:color="auto" w:fill="auto"/>
              <w:spacing w:before="6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201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22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B03AD9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ідділ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відділ з питань регіональної політики Павлоградської міської ради,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ЗМІ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(за згодою)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17698E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17698E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 w:rsidRPr="0017698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7E4E0D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A73F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4E73" w:rsidRPr="00300B9C" w:rsidTr="00156A83">
        <w:trPr>
          <w:trHeight w:hRule="exact" w:val="1002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0F3B94" w:rsidRDefault="00B34E73" w:rsidP="00962F43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F3B94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0F3B94" w:rsidRDefault="00B34E73" w:rsidP="00962F43">
            <w:pPr>
              <w:ind w:left="23" w:right="132"/>
              <w:rPr>
                <w:rFonts w:ascii="Times New Roman" w:hAnsi="Times New Roman"/>
                <w:sz w:val="20"/>
                <w:szCs w:val="20"/>
              </w:rPr>
            </w:pPr>
            <w:r w:rsidRPr="000F3B94">
              <w:rPr>
                <w:rStyle w:val="119pt"/>
                <w:b w:val="0"/>
                <w:bCs w:val="0"/>
                <w:sz w:val="20"/>
                <w:szCs w:val="20"/>
              </w:rPr>
              <w:t>Забезпечення сталого енергетичного розвитку міста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0F3B94" w:rsidRDefault="00B34E73" w:rsidP="00962F43">
            <w:pPr>
              <w:pStyle w:val="110"/>
              <w:shd w:val="clear" w:color="auto" w:fill="auto"/>
              <w:spacing w:line="230" w:lineRule="exact"/>
              <w:ind w:left="132" w:right="184" w:firstLine="0"/>
              <w:jc w:val="left"/>
              <w:rPr>
                <w:sz w:val="20"/>
                <w:szCs w:val="20"/>
              </w:rPr>
            </w:pPr>
            <w:r w:rsidRPr="000F3B94">
              <w:rPr>
                <w:rStyle w:val="119pt"/>
                <w:b w:val="0"/>
                <w:bCs w:val="0"/>
                <w:sz w:val="20"/>
                <w:szCs w:val="20"/>
              </w:rPr>
              <w:t xml:space="preserve">Розробка енергетичного </w:t>
            </w:r>
            <w:r w:rsidRPr="000F3B94">
              <w:rPr>
                <w:rStyle w:val="119pt"/>
                <w:b w:val="0"/>
                <w:bCs w:val="0"/>
                <w:sz w:val="20"/>
                <w:szCs w:val="20"/>
                <w:lang w:eastAsia="ru-RU"/>
              </w:rPr>
              <w:t xml:space="preserve">бренду </w:t>
            </w:r>
            <w:r w:rsidRPr="000F3B94">
              <w:rPr>
                <w:rStyle w:val="119pt"/>
                <w:b w:val="0"/>
                <w:bCs w:val="0"/>
                <w:sz w:val="20"/>
                <w:szCs w:val="20"/>
              </w:rPr>
              <w:t>міста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0F3B94" w:rsidRDefault="00B34E73" w:rsidP="00962F43">
            <w:pPr>
              <w:pStyle w:val="110"/>
              <w:shd w:val="clear" w:color="auto" w:fill="auto"/>
              <w:spacing w:line="23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201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22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0F3B94" w:rsidRDefault="00B34E73" w:rsidP="00B03AD9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Відділ</w:t>
            </w:r>
            <w:r w:rsidRPr="000F3B94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B34E73" w:rsidRPr="000F3B94" w:rsidRDefault="00B34E73" w:rsidP="00AB5D51">
            <w:pPr>
              <w:pStyle w:val="110"/>
              <w:shd w:val="clear" w:color="auto" w:fill="auto"/>
              <w:spacing w:before="60"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5E61BA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5E61BA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lang w:val="uk-UA"/>
              </w:rPr>
            </w:pPr>
            <w:r w:rsidRPr="005E61BA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lang w:val="uk-UA"/>
              </w:rPr>
            </w:pPr>
            <w:r w:rsidRPr="00BA42D6"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lang w:val="uk-UA"/>
              </w:rPr>
            </w:pPr>
            <w:r w:rsidRPr="00BA42D6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7E4E0D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lang w:val="uk-UA"/>
              </w:rPr>
            </w:pPr>
            <w:r w:rsidRPr="00BA42D6">
              <w:rPr>
                <w:lang w:val="uk-UA"/>
              </w:rPr>
              <w:t>-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962F43">
            <w:pPr>
              <w:pStyle w:val="110"/>
              <w:numPr>
                <w:ilvl w:val="0"/>
                <w:numId w:val="2"/>
              </w:numPr>
              <w:tabs>
                <w:tab w:val="left" w:pos="132"/>
                <w:tab w:val="left" w:pos="2400"/>
              </w:tabs>
              <w:spacing w:line="230" w:lineRule="exact"/>
              <w:ind w:right="131" w:firstLine="0"/>
              <w:jc w:val="left"/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створення позитивного іміджу міста</w:t>
            </w:r>
          </w:p>
          <w:p w:rsidR="00B34E73" w:rsidRPr="00BA42D6" w:rsidRDefault="00B34E73" w:rsidP="00CA11B7">
            <w:pPr>
              <w:pStyle w:val="110"/>
              <w:numPr>
                <w:ilvl w:val="0"/>
                <w:numId w:val="2"/>
              </w:numPr>
              <w:shd w:val="clear" w:color="auto" w:fill="auto"/>
              <w:tabs>
                <w:tab w:val="left" w:pos="132"/>
                <w:tab w:val="left" w:pos="2400"/>
              </w:tabs>
              <w:spacing w:line="230" w:lineRule="exact"/>
              <w:ind w:right="131" w:firstLine="0"/>
              <w:jc w:val="left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зменшення споживання ПЕР;</w:t>
            </w:r>
          </w:p>
          <w:p w:rsidR="00B34E73" w:rsidRPr="00BA42D6" w:rsidRDefault="00B34E73" w:rsidP="00CA11B7">
            <w:pPr>
              <w:pStyle w:val="110"/>
              <w:numPr>
                <w:ilvl w:val="0"/>
                <w:numId w:val="2"/>
              </w:numPr>
              <w:shd w:val="clear" w:color="auto" w:fill="auto"/>
              <w:tabs>
                <w:tab w:val="left" w:pos="132"/>
                <w:tab w:val="left" w:pos="2400"/>
              </w:tabs>
              <w:spacing w:line="230" w:lineRule="exact"/>
              <w:ind w:right="131" w:firstLine="0"/>
              <w:jc w:val="left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економія коштів міського</w:t>
            </w:r>
          </w:p>
          <w:p w:rsidR="00B34E73" w:rsidRPr="00BA42D6" w:rsidRDefault="00B34E73" w:rsidP="00CA11B7">
            <w:pPr>
              <w:pStyle w:val="110"/>
              <w:numPr>
                <w:ilvl w:val="0"/>
                <w:numId w:val="2"/>
              </w:numPr>
              <w:tabs>
                <w:tab w:val="left" w:pos="132"/>
                <w:tab w:val="left" w:pos="2400"/>
              </w:tabs>
              <w:spacing w:line="230" w:lineRule="exact"/>
              <w:ind w:right="131" w:firstLine="0"/>
              <w:jc w:val="left"/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 xml:space="preserve">бюджету на оплату ПЕР; </w:t>
            </w:r>
          </w:p>
          <w:p w:rsidR="00B34E73" w:rsidRPr="00BA42D6" w:rsidRDefault="00B34E73" w:rsidP="00CA11B7">
            <w:pPr>
              <w:pStyle w:val="110"/>
              <w:shd w:val="clear" w:color="auto" w:fill="auto"/>
              <w:tabs>
                <w:tab w:val="left" w:pos="132"/>
                <w:tab w:val="left" w:pos="2400"/>
              </w:tabs>
              <w:spacing w:line="230" w:lineRule="exact"/>
              <w:ind w:right="131" w:firstLine="0"/>
              <w:jc w:val="left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- залучення нових партнерів (проектів, програм);</w:t>
            </w:r>
          </w:p>
          <w:p w:rsidR="00B34E73" w:rsidRPr="00BA42D6" w:rsidRDefault="00B34E73" w:rsidP="00CA11B7">
            <w:pPr>
              <w:pStyle w:val="110"/>
              <w:shd w:val="clear" w:color="auto" w:fill="auto"/>
              <w:tabs>
                <w:tab w:val="left" w:pos="132"/>
                <w:tab w:val="left" w:pos="2400"/>
              </w:tabs>
              <w:spacing w:line="230" w:lineRule="exact"/>
              <w:ind w:right="131" w:firstLine="0"/>
              <w:jc w:val="left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- реалізація енергоефективних заходів</w:t>
            </w:r>
          </w:p>
          <w:p w:rsidR="00B34E73" w:rsidRPr="00BA42D6" w:rsidRDefault="00B34E73" w:rsidP="00962F43">
            <w:pPr>
              <w:pStyle w:val="110"/>
              <w:numPr>
                <w:ilvl w:val="0"/>
                <w:numId w:val="2"/>
              </w:numPr>
              <w:tabs>
                <w:tab w:val="left" w:pos="132"/>
                <w:tab w:val="left" w:pos="2400"/>
              </w:tabs>
              <w:spacing w:line="230" w:lineRule="exact"/>
              <w:ind w:right="131"/>
              <w:jc w:val="left"/>
            </w:pPr>
          </w:p>
        </w:tc>
      </w:tr>
      <w:tr w:rsidR="00B34E73" w:rsidRPr="00300B9C" w:rsidTr="00156A83">
        <w:trPr>
          <w:trHeight w:hRule="exact" w:val="1001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:rsidR="00B34E73" w:rsidRPr="000F3B94" w:rsidRDefault="00B34E73" w:rsidP="00962F43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:rsidR="00B34E73" w:rsidRPr="000F3B94" w:rsidRDefault="00B34E73" w:rsidP="00962F43">
            <w:pPr>
              <w:ind w:left="23" w:right="132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0F3B94" w:rsidRDefault="00B34E73" w:rsidP="00156A83">
            <w:pPr>
              <w:pStyle w:val="110"/>
              <w:shd w:val="clear" w:color="auto" w:fill="auto"/>
              <w:spacing w:line="230" w:lineRule="exact"/>
              <w:ind w:left="132" w:right="184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Розробка Стратегії енергоефективності м. Павлограда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0F3B94" w:rsidRDefault="00B34E73" w:rsidP="00AC2CAB">
            <w:pPr>
              <w:pStyle w:val="110"/>
              <w:shd w:val="clear" w:color="auto" w:fill="auto"/>
              <w:spacing w:line="23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201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22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0F3B94" w:rsidRDefault="00B34E73" w:rsidP="00B03AD9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Відділ</w:t>
            </w:r>
            <w:r w:rsidRPr="000F3B94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C2CA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B34E73" w:rsidRPr="00300B9C" w:rsidRDefault="00B34E73" w:rsidP="00AC2CA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B34E73" w:rsidRPr="000F3B94" w:rsidRDefault="00B34E73" w:rsidP="00AC2CAB">
            <w:pPr>
              <w:pStyle w:val="110"/>
              <w:shd w:val="clear" w:color="auto" w:fill="auto"/>
              <w:spacing w:before="60"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5E61BA" w:rsidRDefault="00B34E73" w:rsidP="00AC2CA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5E61BA" w:rsidRDefault="00B34E73" w:rsidP="00AC2CA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lang w:val="uk-UA"/>
              </w:rPr>
            </w:pPr>
            <w:r w:rsidRPr="005E61BA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BA42D6" w:rsidRDefault="00B34E73" w:rsidP="00AC2CAB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lang w:val="uk-UA"/>
              </w:rPr>
            </w:pPr>
            <w:r w:rsidRPr="00BA42D6"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AC2CAB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lang w:val="uk-UA"/>
              </w:rPr>
            </w:pPr>
            <w:r w:rsidRPr="00BA42D6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7E4E0D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lang w:val="uk-UA"/>
              </w:rPr>
            </w:pPr>
            <w:r w:rsidRPr="00BA42D6">
              <w:rPr>
                <w:lang w:val="uk-UA"/>
              </w:rPr>
              <w:t>-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962F43">
            <w:pPr>
              <w:pStyle w:val="110"/>
              <w:numPr>
                <w:ilvl w:val="0"/>
                <w:numId w:val="2"/>
              </w:numPr>
              <w:tabs>
                <w:tab w:val="left" w:pos="132"/>
                <w:tab w:val="left" w:pos="2400"/>
              </w:tabs>
              <w:spacing w:line="230" w:lineRule="exact"/>
              <w:ind w:right="131" w:firstLine="0"/>
              <w:jc w:val="left"/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B34E73" w:rsidRPr="00300B9C" w:rsidTr="006C36A0">
        <w:trPr>
          <w:trHeight w:hRule="exact" w:val="6363"/>
        </w:trPr>
        <w:tc>
          <w:tcPr>
            <w:tcW w:w="40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tl2br w:val="single" w:sz="4" w:space="0" w:color="FFFFFF"/>
            </w:tcBorders>
            <w:shd w:val="clear" w:color="auto" w:fill="FFFFFF"/>
            <w:vAlign w:val="center"/>
          </w:tcPr>
          <w:p w:rsidR="00B34E73" w:rsidRPr="00300B9C" w:rsidRDefault="00B34E73" w:rsidP="00962F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</w:tcBorders>
            <w:shd w:val="clear" w:color="auto" w:fill="FFFFFF"/>
            <w:vAlign w:val="center"/>
          </w:tcPr>
          <w:p w:rsidR="00B34E73" w:rsidRPr="00300B9C" w:rsidRDefault="00B34E73" w:rsidP="00962F43">
            <w:pPr>
              <w:ind w:left="23" w:right="13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0F3B94" w:rsidRDefault="00B34E73" w:rsidP="00962F43">
            <w:pPr>
              <w:pStyle w:val="110"/>
              <w:shd w:val="clear" w:color="auto" w:fill="auto"/>
              <w:spacing w:line="226" w:lineRule="exact"/>
              <w:ind w:left="132" w:right="184" w:firstLine="0"/>
              <w:jc w:val="left"/>
              <w:rPr>
                <w:b/>
                <w:sz w:val="20"/>
                <w:szCs w:val="20"/>
              </w:rPr>
            </w:pPr>
            <w:r w:rsidRPr="000F3B94">
              <w:rPr>
                <w:rStyle w:val="119pt"/>
                <w:b w:val="0"/>
                <w:bCs w:val="0"/>
                <w:sz w:val="20"/>
                <w:szCs w:val="20"/>
              </w:rPr>
              <w:t>Створення бази енергоефективних проектів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0F3B94" w:rsidRDefault="00B34E73" w:rsidP="00962F43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201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22 рр.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300B9C" w:rsidRDefault="00B34E73" w:rsidP="0013631F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311ptExac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Відділ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відділ залучення інвестицій та регуляторної політики Павлоградської міської ради, управління комунального господарства та будівництва, відділ охорони здоров’я Павлоградської міської ради, відділ освіти Павлоградської міської ради, відділ культури Павлоградської міської ради, </w:t>
            </w:r>
            <w:r>
              <w:rPr>
                <w:bCs/>
                <w:sz w:val="20"/>
                <w:szCs w:val="20"/>
                <w:lang w:val="uk-UA"/>
              </w:rPr>
              <w:t>в</w:t>
            </w:r>
            <w:r w:rsidRPr="0013631F">
              <w:rPr>
                <w:bCs/>
                <w:sz w:val="20"/>
                <w:szCs w:val="20"/>
                <w:lang w:val="uk-UA"/>
              </w:rPr>
              <w:t>ідділ з питань сім'ї, молоді і спорту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Павлоградської міської ради,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громадські організації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(за згодою)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311ptExac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17698E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 w:rsidRPr="00BA42D6"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7E4E0D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 w:rsidRPr="00BA42D6"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962F43">
            <w:pPr>
              <w:pStyle w:val="110"/>
              <w:numPr>
                <w:ilvl w:val="0"/>
                <w:numId w:val="2"/>
              </w:numPr>
              <w:tabs>
                <w:tab w:val="left" w:pos="132"/>
                <w:tab w:val="left" w:pos="2400"/>
              </w:tabs>
              <w:spacing w:line="230" w:lineRule="exact"/>
              <w:ind w:right="131"/>
              <w:jc w:val="left"/>
            </w:pPr>
          </w:p>
        </w:tc>
      </w:tr>
      <w:tr w:rsidR="00B34E73" w:rsidRPr="00300B9C" w:rsidTr="006C36A0">
        <w:trPr>
          <w:trHeight w:hRule="exact" w:val="1710"/>
        </w:trPr>
        <w:tc>
          <w:tcPr>
            <w:tcW w:w="403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962F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962F43">
            <w:pPr>
              <w:ind w:left="23" w:right="13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0F3B94" w:rsidRDefault="00B34E73" w:rsidP="00962F43">
            <w:pPr>
              <w:spacing w:line="230" w:lineRule="exact"/>
              <w:ind w:left="132" w:right="184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0F3B94" w:rsidRDefault="00B34E73" w:rsidP="00962F43">
            <w:pPr>
              <w:pStyle w:val="110"/>
              <w:shd w:val="clear" w:color="auto" w:fill="auto"/>
              <w:spacing w:line="23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962F43" w:rsidRDefault="00B34E73" w:rsidP="00AB5D51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962F43" w:rsidRDefault="00B34E73" w:rsidP="00AB5D51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962F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4E73" w:rsidRPr="00962F43" w:rsidTr="00595216">
        <w:trPr>
          <w:trHeight w:hRule="exact" w:val="5821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962F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300B9C" w:rsidRDefault="00B34E73" w:rsidP="00962F43">
            <w:pPr>
              <w:ind w:left="23" w:right="13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962F43" w:rsidRDefault="00B34E73" w:rsidP="00586658">
            <w:pPr>
              <w:pStyle w:val="110"/>
              <w:shd w:val="clear" w:color="auto" w:fill="auto"/>
              <w:spacing w:line="240" w:lineRule="auto"/>
              <w:ind w:left="131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962F43">
              <w:rPr>
                <w:rStyle w:val="119pt"/>
                <w:b w:val="0"/>
                <w:bCs w:val="0"/>
                <w:sz w:val="20"/>
                <w:szCs w:val="20"/>
              </w:rPr>
              <w:t>Сприяння реалізації заходів Плану дій зі сталого енергетичного розвитку міста Павлограда  до 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3</w:t>
            </w:r>
            <w:r w:rsidRPr="00962F43">
              <w:rPr>
                <w:rStyle w:val="119pt"/>
                <w:b w:val="0"/>
                <w:bCs w:val="0"/>
                <w:sz w:val="20"/>
                <w:szCs w:val="20"/>
              </w:rPr>
              <w:t>0 року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962F43" w:rsidRDefault="00B34E73" w:rsidP="00962F43">
            <w:pPr>
              <w:pStyle w:val="110"/>
              <w:shd w:val="clear" w:color="auto" w:fill="auto"/>
              <w:spacing w:before="60" w:line="240" w:lineRule="auto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201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22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962F43" w:rsidRDefault="00B34E73" w:rsidP="0013631F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962F43">
              <w:rPr>
                <w:rStyle w:val="119pt"/>
                <w:b w:val="0"/>
                <w:bCs w:val="0"/>
                <w:sz w:val="20"/>
                <w:szCs w:val="20"/>
              </w:rPr>
              <w:t xml:space="preserve">Відділ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  <w:r w:rsidRPr="00962F43">
              <w:rPr>
                <w:rStyle w:val="119pt"/>
                <w:b w:val="0"/>
                <w:bCs w:val="0"/>
                <w:sz w:val="20"/>
                <w:szCs w:val="20"/>
              </w:rPr>
              <w:t>, відділ залучення інвестицій та регуляторної політики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Павлоградської міської ради</w:t>
            </w:r>
            <w:r w:rsidRPr="00962F43">
              <w:rPr>
                <w:rStyle w:val="119pt"/>
                <w:b w:val="0"/>
                <w:bCs w:val="0"/>
                <w:sz w:val="20"/>
                <w:szCs w:val="20"/>
              </w:rPr>
              <w:t>, управління комунального господарства та будівництва, відділ охорони здоров’я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Павлоградської міської ради</w:t>
            </w:r>
            <w:r w:rsidRPr="00962F43">
              <w:rPr>
                <w:rStyle w:val="119pt"/>
                <w:b w:val="0"/>
                <w:bCs w:val="0"/>
                <w:sz w:val="20"/>
                <w:szCs w:val="20"/>
              </w:rPr>
              <w:t>, відділ освіти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Павлоградської міської ради</w:t>
            </w:r>
            <w:r w:rsidRPr="00962F43">
              <w:rPr>
                <w:rStyle w:val="119pt"/>
                <w:b w:val="0"/>
                <w:bCs w:val="0"/>
                <w:sz w:val="20"/>
                <w:szCs w:val="20"/>
              </w:rPr>
              <w:t>, відділ культури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Павлоградської міської ради</w:t>
            </w:r>
            <w:r w:rsidRPr="00962F43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 w:rsidRPr="0013631F">
              <w:rPr>
                <w:bCs/>
                <w:sz w:val="20"/>
                <w:szCs w:val="20"/>
                <w:lang w:val="uk-UA"/>
              </w:rPr>
              <w:t>відділ з питань сім'ї, молоді і спорту</w:t>
            </w:r>
            <w:r w:rsidRPr="0013631F">
              <w:rPr>
                <w:rStyle w:val="WW-Absatz-Standardschriftart1111"/>
                <w:b/>
                <w:bCs/>
                <w:sz w:val="20"/>
                <w:szCs w:val="20"/>
                <w:lang w:val="uk-UA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Павлоградської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B34E73" w:rsidRPr="00300B9C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17698E" w:rsidRDefault="00B34E73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35326A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 w:rsidRPr="00BA42D6"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7E4E0D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 w:rsidRPr="00BA42D6"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B34E73" w:rsidRPr="009A1E69" w:rsidTr="00595216">
        <w:trPr>
          <w:trHeight w:val="539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9A1E69" w:rsidRDefault="00B34E73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9A1E69" w:rsidRDefault="00B34E73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9A1E69" w:rsidRDefault="00B34E73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9A1E69" w:rsidRDefault="00B34E73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Строк</w:t>
            </w:r>
          </w:p>
          <w:p w:rsidR="00B34E73" w:rsidRPr="009A1E69" w:rsidRDefault="00B34E73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виконання</w:t>
            </w:r>
          </w:p>
          <w:p w:rsidR="00B34E73" w:rsidRPr="009A1E69" w:rsidRDefault="00B34E73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9A1E69" w:rsidRDefault="00B34E73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9A1E69" w:rsidRDefault="00B34E73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Джерела</w:t>
            </w:r>
          </w:p>
          <w:p w:rsidR="00B34E73" w:rsidRPr="009A1E69" w:rsidRDefault="00B34E73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595216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BA42D6">
              <w:rPr>
                <w:rStyle w:val="119pt"/>
                <w:bCs w:val="0"/>
                <w:color w:val="auto"/>
                <w:sz w:val="20"/>
                <w:szCs w:val="20"/>
              </w:rPr>
              <w:t>Орієнтовні обсяги фінансування (вартість), тис. грн.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BA42D6">
              <w:rPr>
                <w:rStyle w:val="119pt"/>
                <w:bCs w:val="0"/>
                <w:color w:val="auto"/>
                <w:sz w:val="20"/>
                <w:szCs w:val="20"/>
              </w:rPr>
              <w:t>Очікуваний результат</w:t>
            </w:r>
          </w:p>
        </w:tc>
      </w:tr>
      <w:tr w:rsidR="00B34E73" w:rsidRPr="009A1E69" w:rsidTr="00595216">
        <w:trPr>
          <w:trHeight w:hRule="exact" w:val="581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9A1E69" w:rsidRDefault="00B34E73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9A1E69" w:rsidRDefault="00B34E73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9A1E69" w:rsidRDefault="00B34E73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9A1E69" w:rsidRDefault="00B34E73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9A1E69" w:rsidRDefault="00B34E73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9A1E69" w:rsidRDefault="00B34E73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9A1E69" w:rsidRDefault="00B34E73" w:rsidP="00595216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  <w:r>
              <w:rPr>
                <w:rStyle w:val="119pt"/>
                <w:bCs w:val="0"/>
                <w:sz w:val="20"/>
                <w:szCs w:val="20"/>
              </w:rPr>
              <w:t>2018р.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9A1E69" w:rsidRDefault="00B34E73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2019 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b/>
                <w:sz w:val="20"/>
                <w:szCs w:val="20"/>
              </w:rPr>
            </w:pPr>
            <w:r w:rsidRPr="00BA42D6">
              <w:rPr>
                <w:rStyle w:val="119pt"/>
                <w:bCs w:val="0"/>
                <w:color w:val="auto"/>
                <w:sz w:val="20"/>
                <w:szCs w:val="20"/>
              </w:rPr>
              <w:t>2020 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AB124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A42D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2021р.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AB124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A42D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2022р.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color w:val="auto"/>
                <w:sz w:val="20"/>
                <w:szCs w:val="20"/>
              </w:rPr>
            </w:pPr>
          </w:p>
        </w:tc>
      </w:tr>
      <w:tr w:rsidR="00B34E73" w:rsidRPr="00962F43" w:rsidTr="006C36A0">
        <w:trPr>
          <w:trHeight w:val="449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E73" w:rsidRPr="00962F43" w:rsidRDefault="00B34E7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1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E73" w:rsidRPr="00D57CF1" w:rsidRDefault="00B34E7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57CF1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Усього по програмі,</w:t>
            </w:r>
          </w:p>
          <w:p w:rsidR="00B34E73" w:rsidRPr="00D57CF1" w:rsidRDefault="00B34E7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B34E73" w:rsidRPr="00300B9C" w:rsidRDefault="00B34E73" w:rsidP="00773BB0">
            <w:pPr>
              <w:pStyle w:val="110"/>
              <w:shd w:val="clear" w:color="auto" w:fill="auto"/>
              <w:spacing w:line="240" w:lineRule="auto"/>
              <w:ind w:firstLine="0"/>
              <w:jc w:val="right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D57CF1">
              <w:rPr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5B4F02" w:rsidRDefault="00B34E73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Загальний обсяг, у т.ч.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Default="00B34E73" w:rsidP="00EE023B">
            <w:pPr>
              <w:ind w:left="132" w:right="132"/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Default="00B34E73" w:rsidP="00502131">
            <w:pPr>
              <w:ind w:left="132" w:right="132"/>
              <w:jc w:val="center"/>
            </w:pPr>
            <w:r>
              <w:rPr>
                <w:rStyle w:val="119pt"/>
                <w:bCs w:val="0"/>
              </w:rPr>
              <w:t>17200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0112FA">
            <w:pPr>
              <w:jc w:val="center"/>
            </w:pPr>
            <w:r>
              <w:rPr>
                <w:rStyle w:val="119pt"/>
                <w:bCs w:val="0"/>
                <w:color w:val="auto"/>
              </w:rPr>
              <w:t>42710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9E4830">
            <w:pPr>
              <w:jc w:val="center"/>
            </w:pPr>
            <w:r>
              <w:rPr>
                <w:rStyle w:val="119pt"/>
                <w:bCs w:val="0"/>
                <w:color w:val="auto"/>
              </w:rPr>
              <w:t>53918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7E4E0D">
            <w:pPr>
              <w:jc w:val="center"/>
            </w:pPr>
            <w:r>
              <w:rPr>
                <w:rStyle w:val="119pt"/>
                <w:bCs w:val="0"/>
                <w:color w:val="auto"/>
              </w:rPr>
              <w:t>12960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B34E73" w:rsidRPr="00962F43" w:rsidTr="006C36A0">
        <w:trPr>
          <w:trHeight w:hRule="exact" w:val="447"/>
        </w:trPr>
        <w:tc>
          <w:tcPr>
            <w:tcW w:w="4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34E73" w:rsidRPr="00962F43" w:rsidRDefault="00B34E7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120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B34E73" w:rsidRPr="00D57CF1" w:rsidRDefault="00B34E7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5B4F02" w:rsidRDefault="00B34E73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Default="00B34E73" w:rsidP="00EE023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17698E" w:rsidRDefault="00B34E73" w:rsidP="00EE023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EE023B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CB2BFE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7E4E0D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B34E73" w:rsidRPr="00962F43" w:rsidTr="006C36A0">
        <w:trPr>
          <w:trHeight w:hRule="exact" w:val="411"/>
        </w:trPr>
        <w:tc>
          <w:tcPr>
            <w:tcW w:w="4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34E73" w:rsidRPr="00962F43" w:rsidRDefault="00B34E7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120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B34E73" w:rsidRPr="00D57CF1" w:rsidRDefault="00B34E7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5B4F02" w:rsidRDefault="00B34E73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Default="00B34E73" w:rsidP="00EE023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17698E" w:rsidRDefault="00B34E73" w:rsidP="00EE023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EE023B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CB2BFE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7E4E0D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B34E73" w:rsidRPr="00962F43" w:rsidTr="006C36A0">
        <w:trPr>
          <w:trHeight w:hRule="exact" w:val="431"/>
        </w:trPr>
        <w:tc>
          <w:tcPr>
            <w:tcW w:w="4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34E73" w:rsidRPr="00962F43" w:rsidRDefault="00B34E7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120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B34E73" w:rsidRPr="00D57CF1" w:rsidRDefault="00B34E7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5B4F02" w:rsidRDefault="00B34E73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210054" w:rsidRDefault="00B34E73" w:rsidP="00EE023B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Default="00B34E73" w:rsidP="00502131">
            <w:pPr>
              <w:jc w:val="center"/>
            </w:pPr>
            <w:r w:rsidRPr="00210054">
              <w:rPr>
                <w:rStyle w:val="119pt"/>
                <w:bCs w:val="0"/>
              </w:rPr>
              <w:t>1</w:t>
            </w:r>
            <w:r>
              <w:rPr>
                <w:rStyle w:val="119pt"/>
                <w:bCs w:val="0"/>
              </w:rPr>
              <w:t>7</w:t>
            </w:r>
            <w:r w:rsidRPr="00210054">
              <w:rPr>
                <w:rStyle w:val="119pt"/>
                <w:bCs w:val="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0112FA">
            <w:pPr>
              <w:jc w:val="center"/>
            </w:pPr>
            <w:r>
              <w:rPr>
                <w:rStyle w:val="119pt"/>
                <w:bCs w:val="0"/>
                <w:color w:val="auto"/>
              </w:rPr>
              <w:t>42710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9E4830">
            <w:pPr>
              <w:jc w:val="center"/>
            </w:pPr>
            <w:r>
              <w:rPr>
                <w:rStyle w:val="119pt"/>
                <w:bCs w:val="0"/>
                <w:color w:val="auto"/>
              </w:rPr>
              <w:t>53918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BA42D6" w:rsidRDefault="00B34E73" w:rsidP="007E4E0D">
            <w:pPr>
              <w:jc w:val="center"/>
            </w:pPr>
            <w:r>
              <w:rPr>
                <w:rStyle w:val="119pt"/>
                <w:bCs w:val="0"/>
                <w:color w:val="auto"/>
              </w:rPr>
              <w:t>12960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BA42D6" w:rsidRDefault="00B34E7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B34E73" w:rsidRPr="00962F43" w:rsidTr="006C36A0">
        <w:trPr>
          <w:trHeight w:hRule="exact" w:val="328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E73" w:rsidRPr="00962F43" w:rsidRDefault="00B34E7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12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E73" w:rsidRPr="00D57CF1" w:rsidRDefault="00B34E7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5B4F02" w:rsidRDefault="00B34E73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Default="00B34E73" w:rsidP="00EE023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17698E" w:rsidRDefault="00B34E73" w:rsidP="00EE023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17698E" w:rsidRDefault="00B34E73" w:rsidP="00EE023B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17698E" w:rsidRDefault="00B34E73" w:rsidP="00EE023B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73" w:rsidRPr="0017698E" w:rsidRDefault="00B34E73" w:rsidP="00EE023B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E73" w:rsidRPr="00962F43" w:rsidRDefault="00B34E7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B34E73" w:rsidRDefault="00B34E73" w:rsidP="00773BB0">
      <w:pPr>
        <w:rPr>
          <w:rFonts w:ascii="Times New Roman" w:hAnsi="Times New Roman"/>
          <w:sz w:val="28"/>
          <w:szCs w:val="28"/>
          <w:lang w:val="uk-UA"/>
        </w:rPr>
      </w:pPr>
    </w:p>
    <w:p w:rsidR="00B34E73" w:rsidRPr="002953DD" w:rsidRDefault="00B34E73" w:rsidP="00FB4894">
      <w:pPr>
        <w:tabs>
          <w:tab w:val="left" w:pos="993"/>
          <w:tab w:val="left" w:pos="3686"/>
        </w:tabs>
        <w:ind w:right="-28"/>
        <w:rPr>
          <w:lang w:val="uk-UA"/>
        </w:rPr>
      </w:pPr>
      <w:r w:rsidRPr="0034763C">
        <w:rPr>
          <w:rFonts w:ascii="Times New Roman" w:hAnsi="Times New Roman"/>
          <w:sz w:val="27"/>
          <w:szCs w:val="27"/>
          <w:lang w:val="uk-UA"/>
        </w:rPr>
        <w:t>Головний спеціаліст з питань енергомоніторингу відділу з економічних питань</w:t>
      </w:r>
      <w:r>
        <w:rPr>
          <w:rFonts w:ascii="Times New Roman" w:hAnsi="Times New Roman"/>
          <w:sz w:val="27"/>
          <w:szCs w:val="27"/>
          <w:lang w:val="uk-UA"/>
        </w:rPr>
        <w:t xml:space="preserve">                               Світлана КАЛІНІНА</w:t>
      </w:r>
    </w:p>
    <w:sectPr w:rsidR="00B34E73" w:rsidRPr="002953DD" w:rsidSect="00661C01">
      <w:headerReference w:type="default" r:id="rId7"/>
      <w:pgSz w:w="16837" w:h="11905" w:orient="landscape" w:code="9"/>
      <w:pgMar w:top="1134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228" w:rsidRDefault="00A05228" w:rsidP="008E1FC9">
      <w:r>
        <w:separator/>
      </w:r>
    </w:p>
  </w:endnote>
  <w:endnote w:type="continuationSeparator" w:id="0">
    <w:p w:rsidR="00A05228" w:rsidRDefault="00A05228" w:rsidP="008E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228" w:rsidRDefault="00A05228" w:rsidP="008E1FC9">
      <w:r>
        <w:separator/>
      </w:r>
    </w:p>
  </w:footnote>
  <w:footnote w:type="continuationSeparator" w:id="0">
    <w:p w:rsidR="00A05228" w:rsidRDefault="00A05228" w:rsidP="008E1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E73" w:rsidRDefault="00A0522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B776E">
      <w:rPr>
        <w:noProof/>
      </w:rPr>
      <w:t>2</w:t>
    </w:r>
    <w:r>
      <w:rPr>
        <w:noProof/>
      </w:rPr>
      <w:fldChar w:fldCharType="end"/>
    </w:r>
  </w:p>
  <w:p w:rsidR="00B34E73" w:rsidRPr="00FC3CF1" w:rsidRDefault="00B34E73" w:rsidP="00300B9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049AF"/>
    <w:multiLevelType w:val="multilevel"/>
    <w:tmpl w:val="23AA9A48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87B3F9F"/>
    <w:multiLevelType w:val="multilevel"/>
    <w:tmpl w:val="E6EEB7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476556A"/>
    <w:multiLevelType w:val="multilevel"/>
    <w:tmpl w:val="1AA2356E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3DD"/>
    <w:rsid w:val="000112FA"/>
    <w:rsid w:val="00024538"/>
    <w:rsid w:val="000413C8"/>
    <w:rsid w:val="00053237"/>
    <w:rsid w:val="000621A0"/>
    <w:rsid w:val="0007204D"/>
    <w:rsid w:val="00097C0C"/>
    <w:rsid w:val="000A4D46"/>
    <w:rsid w:val="000B776E"/>
    <w:rsid w:val="000C0472"/>
    <w:rsid w:val="000C7A6F"/>
    <w:rsid w:val="000E1530"/>
    <w:rsid w:val="000E162B"/>
    <w:rsid w:val="000F3B94"/>
    <w:rsid w:val="00100C49"/>
    <w:rsid w:val="0013631F"/>
    <w:rsid w:val="001446A5"/>
    <w:rsid w:val="00156A83"/>
    <w:rsid w:val="00165CBA"/>
    <w:rsid w:val="00166544"/>
    <w:rsid w:val="0017698E"/>
    <w:rsid w:val="0019202D"/>
    <w:rsid w:val="001B6248"/>
    <w:rsid w:val="001C7D29"/>
    <w:rsid w:val="001F1001"/>
    <w:rsid w:val="001F58CF"/>
    <w:rsid w:val="00210054"/>
    <w:rsid w:val="002161BA"/>
    <w:rsid w:val="00222AB2"/>
    <w:rsid w:val="00236412"/>
    <w:rsid w:val="002623A3"/>
    <w:rsid w:val="0026260F"/>
    <w:rsid w:val="00272B5D"/>
    <w:rsid w:val="00273DD6"/>
    <w:rsid w:val="0028068F"/>
    <w:rsid w:val="002953DD"/>
    <w:rsid w:val="002C3D87"/>
    <w:rsid w:val="00300B9C"/>
    <w:rsid w:val="00332F5F"/>
    <w:rsid w:val="003434F1"/>
    <w:rsid w:val="0034763C"/>
    <w:rsid w:val="0035326A"/>
    <w:rsid w:val="0036288E"/>
    <w:rsid w:val="00385660"/>
    <w:rsid w:val="003C352A"/>
    <w:rsid w:val="003D18BB"/>
    <w:rsid w:val="003D2A22"/>
    <w:rsid w:val="00406053"/>
    <w:rsid w:val="00423953"/>
    <w:rsid w:val="0042601F"/>
    <w:rsid w:val="00443CC4"/>
    <w:rsid w:val="00456661"/>
    <w:rsid w:val="004608DE"/>
    <w:rsid w:val="00466864"/>
    <w:rsid w:val="00473CA8"/>
    <w:rsid w:val="004A3D3D"/>
    <w:rsid w:val="004A4D00"/>
    <w:rsid w:val="004C064D"/>
    <w:rsid w:val="004C6BD0"/>
    <w:rsid w:val="004C74F7"/>
    <w:rsid w:val="004D3284"/>
    <w:rsid w:val="004D4647"/>
    <w:rsid w:val="004F6FA6"/>
    <w:rsid w:val="00502131"/>
    <w:rsid w:val="00533A7C"/>
    <w:rsid w:val="00537E3F"/>
    <w:rsid w:val="00586658"/>
    <w:rsid w:val="00595216"/>
    <w:rsid w:val="005A4425"/>
    <w:rsid w:val="005B4F02"/>
    <w:rsid w:val="005E3C06"/>
    <w:rsid w:val="005E61BA"/>
    <w:rsid w:val="005F5392"/>
    <w:rsid w:val="006018C1"/>
    <w:rsid w:val="006028EC"/>
    <w:rsid w:val="006063AC"/>
    <w:rsid w:val="0061136A"/>
    <w:rsid w:val="0064403A"/>
    <w:rsid w:val="00661C01"/>
    <w:rsid w:val="00671E66"/>
    <w:rsid w:val="006C36A0"/>
    <w:rsid w:val="006F3CF0"/>
    <w:rsid w:val="00734DA5"/>
    <w:rsid w:val="00745A50"/>
    <w:rsid w:val="00753B54"/>
    <w:rsid w:val="007563B0"/>
    <w:rsid w:val="00773BB0"/>
    <w:rsid w:val="007B18AB"/>
    <w:rsid w:val="007B2CF2"/>
    <w:rsid w:val="007E4E0D"/>
    <w:rsid w:val="0080757C"/>
    <w:rsid w:val="008122D2"/>
    <w:rsid w:val="0086546B"/>
    <w:rsid w:val="0087736D"/>
    <w:rsid w:val="00886935"/>
    <w:rsid w:val="008871E6"/>
    <w:rsid w:val="008B4714"/>
    <w:rsid w:val="008E1FC9"/>
    <w:rsid w:val="008E646D"/>
    <w:rsid w:val="008F0CEB"/>
    <w:rsid w:val="00937267"/>
    <w:rsid w:val="00951C50"/>
    <w:rsid w:val="00962F43"/>
    <w:rsid w:val="00964AFF"/>
    <w:rsid w:val="00965895"/>
    <w:rsid w:val="00977D10"/>
    <w:rsid w:val="009A1E69"/>
    <w:rsid w:val="009E4830"/>
    <w:rsid w:val="009F1EE5"/>
    <w:rsid w:val="00A0272C"/>
    <w:rsid w:val="00A05228"/>
    <w:rsid w:val="00A14530"/>
    <w:rsid w:val="00A73F05"/>
    <w:rsid w:val="00AA1E87"/>
    <w:rsid w:val="00AB124C"/>
    <w:rsid w:val="00AB5D51"/>
    <w:rsid w:val="00AB7F18"/>
    <w:rsid w:val="00AC2CAB"/>
    <w:rsid w:val="00B03AD9"/>
    <w:rsid w:val="00B044C8"/>
    <w:rsid w:val="00B14E91"/>
    <w:rsid w:val="00B15C88"/>
    <w:rsid w:val="00B34E73"/>
    <w:rsid w:val="00B63E5C"/>
    <w:rsid w:val="00B640DE"/>
    <w:rsid w:val="00B874AA"/>
    <w:rsid w:val="00B958DC"/>
    <w:rsid w:val="00BA29C0"/>
    <w:rsid w:val="00BA42D6"/>
    <w:rsid w:val="00BB6A4F"/>
    <w:rsid w:val="00BD0E7F"/>
    <w:rsid w:val="00BD3A98"/>
    <w:rsid w:val="00BF6527"/>
    <w:rsid w:val="00C10C24"/>
    <w:rsid w:val="00C11AD7"/>
    <w:rsid w:val="00C137FE"/>
    <w:rsid w:val="00C3734D"/>
    <w:rsid w:val="00C431DD"/>
    <w:rsid w:val="00C459C2"/>
    <w:rsid w:val="00C631C0"/>
    <w:rsid w:val="00CA11B7"/>
    <w:rsid w:val="00CB2BFE"/>
    <w:rsid w:val="00CD4AF8"/>
    <w:rsid w:val="00CF3D8B"/>
    <w:rsid w:val="00D07063"/>
    <w:rsid w:val="00D13B53"/>
    <w:rsid w:val="00D31301"/>
    <w:rsid w:val="00D57CF1"/>
    <w:rsid w:val="00D63477"/>
    <w:rsid w:val="00D84B97"/>
    <w:rsid w:val="00DA39C5"/>
    <w:rsid w:val="00DB5097"/>
    <w:rsid w:val="00DF5A1B"/>
    <w:rsid w:val="00E13D7E"/>
    <w:rsid w:val="00E77500"/>
    <w:rsid w:val="00EA37A8"/>
    <w:rsid w:val="00EB1E22"/>
    <w:rsid w:val="00EE023B"/>
    <w:rsid w:val="00F01DE0"/>
    <w:rsid w:val="00F318E0"/>
    <w:rsid w:val="00F41A48"/>
    <w:rsid w:val="00FB4894"/>
    <w:rsid w:val="00FC3CF1"/>
    <w:rsid w:val="00FE263F"/>
    <w:rsid w:val="00FE353A"/>
    <w:rsid w:val="00FF2E82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66D5D4E"/>
  <w15:docId w15:val="{769BFF59-2175-41E9-ADCE-AD0BDDF4C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-Absatz-Standardschriftart1111">
    <w:name w:val="WW-Absatz-Standardschriftart1111"/>
    <w:uiPriority w:val="99"/>
    <w:rsid w:val="00136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5</Pages>
  <Words>971</Words>
  <Characters>5535</Characters>
  <Application>Microsoft Office Word</Application>
  <DocSecurity>0</DocSecurity>
  <Lines>46</Lines>
  <Paragraphs>12</Paragraphs>
  <ScaleCrop>false</ScaleCrop>
  <Company>Microsoft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ekonom7</dc:creator>
  <cp:keywords/>
  <dc:description/>
  <cp:lastModifiedBy>Олена Сошникова</cp:lastModifiedBy>
  <cp:revision>75</cp:revision>
  <cp:lastPrinted>2020-12-16T12:11:00Z</cp:lastPrinted>
  <dcterms:created xsi:type="dcterms:W3CDTF">2018-07-19T11:53:00Z</dcterms:created>
  <dcterms:modified xsi:type="dcterms:W3CDTF">2022-06-27T07:22:00Z</dcterms:modified>
</cp:coreProperties>
</file>