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D479C0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D479C0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D479C0">
        <w:tc>
          <w:tcPr>
            <w:tcW w:w="4537" w:type="dxa"/>
            <w:gridSpan w:val="2"/>
          </w:tcPr>
          <w:p w:rsidR="005C12F5" w:rsidRPr="00ED3F04" w:rsidRDefault="005C12F5" w:rsidP="00D479C0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D479C0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7156F1" w:rsidP="00D479C0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D479C0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D479C0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C13FF5" w:rsidRDefault="005C12F5" w:rsidP="00D07D52">
      <w:pPr>
        <w:rPr>
          <w:szCs w:val="26"/>
          <w:lang w:val="uk-UA"/>
        </w:rPr>
      </w:pPr>
    </w:p>
    <w:p w:rsidR="00C13FF5" w:rsidRDefault="007E521F" w:rsidP="00C13FF5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FA66FE">
        <w:rPr>
          <w:rFonts w:ascii="TimesNewRomanPS-BoldMT" w:hAnsi="TimesNewRomanPS-BoldMT"/>
          <w:b/>
          <w:bCs/>
          <w:color w:val="000000"/>
          <w:szCs w:val="28"/>
          <w:lang w:val="uk-UA"/>
        </w:rPr>
        <w:t>Технологічна картка адміністративної послуги</w:t>
      </w:r>
    </w:p>
    <w:p w:rsidR="00C13FF5" w:rsidRPr="00200BAF" w:rsidRDefault="007E521F" w:rsidP="00C13FF5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FA66FE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 </w:t>
      </w:r>
      <w:r w:rsidR="00C13FF5"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із внесення до Реєстру</w:t>
      </w:r>
      <w:r w:rsidR="00C13FF5"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="00C13FF5"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будівельної діяльності інформації, зазначеної у повідомленні про зміну</w:t>
      </w:r>
      <w:r w:rsidR="00C13FF5"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="00C13FF5"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даних у поданому повідомленні про початок виконання будівельних робіт</w:t>
      </w:r>
      <w:r w:rsidR="00C13FF5"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="00C13FF5">
        <w:rPr>
          <w:rFonts w:ascii="TimesNewRomanPS-BoldMT" w:hAnsi="TimesNewRomanPS-BoldMT"/>
          <w:b/>
          <w:bCs/>
          <w:color w:val="000000"/>
          <w:szCs w:val="28"/>
          <w:lang w:val="uk-UA"/>
        </w:rPr>
        <w:t>н</w:t>
      </w:r>
      <w:r w:rsidR="00C13FF5"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а об’єктах з незначними наслідками (СС1) (зміна відомостей про початок</w:t>
      </w:r>
      <w:r w:rsidR="00C13FF5"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="00C13FF5" w:rsidRPr="00200BAF">
        <w:rPr>
          <w:rFonts w:ascii="TimesNewRomanPS-BoldMT" w:hAnsi="TimesNewRomanPS-BoldMT"/>
          <w:b/>
          <w:bCs/>
          <w:color w:val="000000"/>
          <w:szCs w:val="28"/>
          <w:lang w:val="uk-UA"/>
        </w:rPr>
        <w:t>виконання будівельних робіт/виправлення технічної помилки)</w:t>
      </w:r>
    </w:p>
    <w:p w:rsidR="00C13FF5" w:rsidRDefault="00C13FF5" w:rsidP="00C13FF5">
      <w:pPr>
        <w:spacing w:before="120" w:after="120"/>
        <w:jc w:val="center"/>
        <w:rPr>
          <w:szCs w:val="28"/>
          <w:lang w:val="uk-UA"/>
        </w:rPr>
      </w:pPr>
      <w:r>
        <w:rPr>
          <w:szCs w:val="28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C13FF5" w:rsidP="00C13FF5">
      <w:pPr>
        <w:jc w:val="center"/>
        <w:rPr>
          <w:b/>
          <w:szCs w:val="26"/>
          <w:lang w:val="uk-UA"/>
        </w:rPr>
      </w:pPr>
      <w:r w:rsidRPr="00D7514A">
        <w:rPr>
          <w:b/>
          <w:szCs w:val="26"/>
          <w:lang w:val="uk-UA"/>
        </w:rPr>
        <w:t>ідентифікатор послуги 0120</w:t>
      </w:r>
      <w:r>
        <w:rPr>
          <w:b/>
          <w:szCs w:val="26"/>
          <w:lang w:val="uk-UA"/>
        </w:rPr>
        <w:t>9</w:t>
      </w:r>
    </w:p>
    <w:p w:rsidR="00C13FF5" w:rsidRPr="00C13FF5" w:rsidRDefault="00C13FF5" w:rsidP="00C13FF5">
      <w:pPr>
        <w:jc w:val="center"/>
        <w:rPr>
          <w:b/>
          <w:szCs w:val="26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D479C0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D479C0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D479C0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D479C0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D479C0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lastRenderedPageBreak/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день надходження </w:t>
            </w:r>
            <w:r w:rsidRPr="00FA66FE">
              <w:rPr>
                <w:color w:val="000000"/>
                <w:sz w:val="24"/>
                <w:lang w:val="uk-UA"/>
              </w:rPr>
              <w:lastRenderedPageBreak/>
              <w:t>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E93529" w:rsidP="00E9352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/три</w:t>
            </w:r>
            <w:r w:rsidR="00382BFE">
              <w:rPr>
                <w:sz w:val="24"/>
                <w:lang w:val="uk-UA"/>
              </w:rPr>
              <w:t xml:space="preserve"> робочих дня</w:t>
            </w:r>
            <w:r w:rsidR="001E6B54" w:rsidRPr="00FA66FE">
              <w:rPr>
                <w:sz w:val="24"/>
                <w:lang w:val="uk-UA"/>
              </w:rPr>
              <w:t>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D479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D479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D479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D479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lang w:val="uk-UA"/>
              </w:rPr>
              <w:t xml:space="preserve">Відмітка в ПТК “Регіональний віртуальний офіс електронних </w:t>
            </w:r>
            <w:r w:rsidRPr="00907AA5">
              <w:rPr>
                <w:sz w:val="24"/>
                <w:lang w:val="uk-UA"/>
              </w:rPr>
              <w:lastRenderedPageBreak/>
              <w:t>адміністративних послуг 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lang w:val="uk-UA"/>
              </w:rPr>
              <w:lastRenderedPageBreak/>
              <w:t xml:space="preserve">Уповноважена особа суб’єкта </w:t>
            </w:r>
            <w:r w:rsidRPr="00907AA5">
              <w:rPr>
                <w:sz w:val="24"/>
                <w:lang w:val="uk-UA"/>
              </w:rPr>
              <w:lastRenderedPageBreak/>
              <w:t>надання 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lang w:val="uk-UA"/>
              </w:rPr>
              <w:lastRenderedPageBreak/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D479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8A382B" w:rsidRDefault="006F2CFA" w:rsidP="008A382B">
            <w:pPr>
              <w:rPr>
                <w:sz w:val="24"/>
                <w:lang w:val="en-US"/>
              </w:rPr>
            </w:pPr>
            <w:r w:rsidRPr="00907AA5">
              <w:rPr>
                <w:sz w:val="24"/>
                <w:lang w:val="uk-UA"/>
              </w:rPr>
              <w:t xml:space="preserve">Протягом </w:t>
            </w:r>
            <w:r>
              <w:rPr>
                <w:sz w:val="24"/>
                <w:lang w:val="uk-UA"/>
              </w:rPr>
              <w:t xml:space="preserve"> </w:t>
            </w:r>
            <w:r w:rsidR="008A382B">
              <w:rPr>
                <w:sz w:val="24"/>
                <w:lang w:val="en-US"/>
              </w:rPr>
              <w:t>3</w:t>
            </w:r>
            <w:r w:rsidRPr="00907AA5">
              <w:rPr>
                <w:sz w:val="24"/>
                <w:lang w:val="uk-UA"/>
              </w:rPr>
              <w:t xml:space="preserve"> робочих </w:t>
            </w:r>
            <w:r w:rsidR="008C3C54" w:rsidRPr="00FA66FE">
              <w:rPr>
                <w:sz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D07D52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E93529">
              <w:rPr>
                <w:sz w:val="24"/>
                <w:lang w:val="uk-UA"/>
              </w:rPr>
              <w:t>8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7156F1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C13FF5" w:rsidRDefault="00C13FF5" w:rsidP="001E0BA1">
      <w:pPr>
        <w:rPr>
          <w:sz w:val="24"/>
          <w:lang w:val="uk-UA"/>
        </w:rPr>
      </w:pPr>
    </w:p>
    <w:p w:rsidR="00D07D52" w:rsidRPr="00C13FF5" w:rsidRDefault="001E0BA1" w:rsidP="001E0BA1">
      <w:pPr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C13FF5" w:rsidRDefault="00C13FF5" w:rsidP="001E0BA1">
      <w:pPr>
        <w:rPr>
          <w:sz w:val="24"/>
          <w:lang w:val="uk-UA"/>
        </w:rPr>
      </w:pP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C13FF5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1E0BA1">
      <w:pPr>
        <w:rPr>
          <w:sz w:val="24"/>
          <w:lang w:val="uk-UA"/>
        </w:rPr>
      </w:pPr>
    </w:p>
    <w:p w:rsidR="00B30707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E360AD">
      <w:pPr>
        <w:rPr>
          <w:sz w:val="24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C13FF5" w:rsidRDefault="00C13FF5" w:rsidP="00E360AD">
      <w:pPr>
        <w:rPr>
          <w:szCs w:val="26"/>
          <w:lang w:val="uk-UA"/>
        </w:rPr>
      </w:pPr>
    </w:p>
    <w:p w:rsidR="00C13FF5" w:rsidRPr="00FA66FE" w:rsidRDefault="00C13FF5" w:rsidP="00E360AD">
      <w:pPr>
        <w:rPr>
          <w:szCs w:val="26"/>
          <w:lang w:val="uk-UA"/>
        </w:rPr>
      </w:pPr>
    </w:p>
    <w:p w:rsidR="00951547" w:rsidRDefault="00B30707" w:rsidP="00951547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951547">
        <w:rPr>
          <w:szCs w:val="26"/>
        </w:rPr>
        <w:t xml:space="preserve">державного </w:t>
      </w:r>
    </w:p>
    <w:p w:rsidR="00B30707" w:rsidRPr="00FA66FE" w:rsidRDefault="00951547" w:rsidP="00951547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C13FF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710" w:rsidRDefault="00285710" w:rsidP="00C13FF5">
      <w:r>
        <w:separator/>
      </w:r>
    </w:p>
  </w:endnote>
  <w:endnote w:type="continuationSeparator" w:id="0">
    <w:p w:rsidR="00285710" w:rsidRDefault="00285710" w:rsidP="00C1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710" w:rsidRDefault="00285710" w:rsidP="00C13FF5">
      <w:r>
        <w:separator/>
      </w:r>
    </w:p>
  </w:footnote>
  <w:footnote w:type="continuationSeparator" w:id="0">
    <w:p w:rsidR="00285710" w:rsidRDefault="00285710" w:rsidP="00C13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69657"/>
      <w:docPartObj>
        <w:docPartGallery w:val="Page Numbers (Top of Page)"/>
        <w:docPartUnique/>
      </w:docPartObj>
    </w:sdtPr>
    <w:sdtEndPr/>
    <w:sdtContent>
      <w:p w:rsidR="00C13FF5" w:rsidRPr="00C13FF5" w:rsidRDefault="00C13FF5" w:rsidP="00C13FF5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</w:t>
        </w:r>
        <w:r w:rsidR="00285710">
          <w:fldChar w:fldCharType="begin"/>
        </w:r>
        <w:r w:rsidR="00285710">
          <w:instrText xml:space="preserve"> PAGE   \* MERGEFORMAT </w:instrText>
        </w:r>
        <w:r w:rsidR="00285710">
          <w:fldChar w:fldCharType="separate"/>
        </w:r>
        <w:r w:rsidR="007156F1">
          <w:rPr>
            <w:noProof/>
          </w:rPr>
          <w:t>3</w:t>
        </w:r>
        <w:r w:rsidR="00285710">
          <w:rPr>
            <w:noProof/>
          </w:rPr>
          <w:fldChar w:fldCharType="end"/>
        </w:r>
        <w:r>
          <w:rPr>
            <w:lang w:val="uk-UA"/>
          </w:rPr>
          <w:t xml:space="preserve">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2EE9"/>
    <w:rsid w:val="00077AD9"/>
    <w:rsid w:val="00081C5E"/>
    <w:rsid w:val="00092497"/>
    <w:rsid w:val="000971DC"/>
    <w:rsid w:val="000A35A5"/>
    <w:rsid w:val="000B5F37"/>
    <w:rsid w:val="000B7078"/>
    <w:rsid w:val="000C2EBD"/>
    <w:rsid w:val="000E689A"/>
    <w:rsid w:val="000F37F8"/>
    <w:rsid w:val="000F5FAF"/>
    <w:rsid w:val="00100D72"/>
    <w:rsid w:val="00101DEF"/>
    <w:rsid w:val="001137C4"/>
    <w:rsid w:val="001170DB"/>
    <w:rsid w:val="00117AED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85710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659B"/>
    <w:rsid w:val="003310D0"/>
    <w:rsid w:val="00335904"/>
    <w:rsid w:val="00346868"/>
    <w:rsid w:val="0035746E"/>
    <w:rsid w:val="00360274"/>
    <w:rsid w:val="00382BFE"/>
    <w:rsid w:val="003834B4"/>
    <w:rsid w:val="00394B62"/>
    <w:rsid w:val="003A138A"/>
    <w:rsid w:val="003A2179"/>
    <w:rsid w:val="003B1161"/>
    <w:rsid w:val="003C296C"/>
    <w:rsid w:val="003C2D6B"/>
    <w:rsid w:val="003F751B"/>
    <w:rsid w:val="004015B5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752DD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D1419"/>
    <w:rsid w:val="006D2B4E"/>
    <w:rsid w:val="006E4766"/>
    <w:rsid w:val="006F1FBA"/>
    <w:rsid w:val="006F2CFA"/>
    <w:rsid w:val="006F4BF7"/>
    <w:rsid w:val="00702D4A"/>
    <w:rsid w:val="007156F1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91762"/>
    <w:rsid w:val="007B6CAA"/>
    <w:rsid w:val="007B767E"/>
    <w:rsid w:val="007C5645"/>
    <w:rsid w:val="007C6489"/>
    <w:rsid w:val="007D186E"/>
    <w:rsid w:val="007D696D"/>
    <w:rsid w:val="007D7B18"/>
    <w:rsid w:val="007E4EB1"/>
    <w:rsid w:val="007E521F"/>
    <w:rsid w:val="007F282B"/>
    <w:rsid w:val="00800A8A"/>
    <w:rsid w:val="008204A6"/>
    <w:rsid w:val="00824C52"/>
    <w:rsid w:val="0084693B"/>
    <w:rsid w:val="00855266"/>
    <w:rsid w:val="00861457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3C54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1547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871EE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D5AEA"/>
    <w:rsid w:val="00AE4AAC"/>
    <w:rsid w:val="00AE7159"/>
    <w:rsid w:val="00AF1920"/>
    <w:rsid w:val="00B02C00"/>
    <w:rsid w:val="00B04C8F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00070"/>
    <w:rsid w:val="00C13FF5"/>
    <w:rsid w:val="00C22D3E"/>
    <w:rsid w:val="00C23FB4"/>
    <w:rsid w:val="00C314B3"/>
    <w:rsid w:val="00C32BB7"/>
    <w:rsid w:val="00C42206"/>
    <w:rsid w:val="00C45ACB"/>
    <w:rsid w:val="00C62B7B"/>
    <w:rsid w:val="00C717F4"/>
    <w:rsid w:val="00C7391B"/>
    <w:rsid w:val="00CA0F61"/>
    <w:rsid w:val="00CA4B3F"/>
    <w:rsid w:val="00CB65DF"/>
    <w:rsid w:val="00CB66E2"/>
    <w:rsid w:val="00CC50BE"/>
    <w:rsid w:val="00CD0264"/>
    <w:rsid w:val="00CD6510"/>
    <w:rsid w:val="00CE1C61"/>
    <w:rsid w:val="00CE4891"/>
    <w:rsid w:val="00CF0E32"/>
    <w:rsid w:val="00CF1DDD"/>
    <w:rsid w:val="00D00E76"/>
    <w:rsid w:val="00D07AAA"/>
    <w:rsid w:val="00D07D52"/>
    <w:rsid w:val="00D13992"/>
    <w:rsid w:val="00D244A1"/>
    <w:rsid w:val="00D33289"/>
    <w:rsid w:val="00D40FC7"/>
    <w:rsid w:val="00D479C0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74C3B-7E5C-4D7F-9334-88291743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C13FF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13F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C13F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13FF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5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03E26-CC4E-493E-B9EF-9D804EBB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6</cp:revision>
  <cp:lastPrinted>2024-05-09T09:20:00Z</cp:lastPrinted>
  <dcterms:created xsi:type="dcterms:W3CDTF">2024-05-01T12:57:00Z</dcterms:created>
  <dcterms:modified xsi:type="dcterms:W3CDTF">2024-07-03T07:44:00Z</dcterms:modified>
</cp:coreProperties>
</file>