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15" w:rsidRPr="00B40AFB" w:rsidRDefault="00A854F4" w:rsidP="00A854F4">
      <w:pPr>
        <w:pStyle w:val="80"/>
        <w:shd w:val="clear" w:color="auto" w:fill="auto"/>
        <w:spacing w:before="0" w:line="240" w:lineRule="auto"/>
        <w:ind w:right="560"/>
        <w:rPr>
          <w:rFonts w:ascii="Times New Roman" w:hAnsi="Times New Roman" w:cs="Times New Roman"/>
          <w:sz w:val="28"/>
          <w:szCs w:val="28"/>
          <w:lang w:val="uk-UA"/>
        </w:rPr>
      </w:pPr>
      <w:r w:rsidRPr="00B40AFB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782815" w:rsidRPr="00B40AFB" w:rsidRDefault="00782815" w:rsidP="00A854F4">
      <w:pPr>
        <w:pStyle w:val="80"/>
        <w:shd w:val="clear" w:color="auto" w:fill="auto"/>
        <w:spacing w:before="0" w:line="240" w:lineRule="auto"/>
        <w:ind w:right="560"/>
        <w:rPr>
          <w:rFonts w:ascii="Times New Roman" w:hAnsi="Times New Roman" w:cs="Times New Roman"/>
          <w:sz w:val="28"/>
          <w:szCs w:val="28"/>
          <w:lang w:val="uk-UA"/>
        </w:rPr>
      </w:pPr>
      <w:r w:rsidRPr="00B40AFB">
        <w:rPr>
          <w:rFonts w:ascii="Times New Roman" w:hAnsi="Times New Roman" w:cs="Times New Roman"/>
          <w:sz w:val="28"/>
          <w:szCs w:val="28"/>
          <w:lang w:val="uk-UA"/>
        </w:rPr>
        <w:t xml:space="preserve">щодо необхідності </w:t>
      </w:r>
      <w:r w:rsidR="00A854F4" w:rsidRPr="00B40AFB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 w:rsidRPr="00B40AFB">
        <w:rPr>
          <w:rFonts w:ascii="Times New Roman" w:hAnsi="Times New Roman" w:cs="Times New Roman"/>
          <w:sz w:val="28"/>
          <w:szCs w:val="28"/>
          <w:lang w:val="uk-UA"/>
        </w:rPr>
        <w:t xml:space="preserve"> нового тарифу на централізоване водопостачання</w:t>
      </w:r>
      <w:r w:rsidR="00A854F4" w:rsidRPr="00B40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AFB">
        <w:rPr>
          <w:rFonts w:ascii="Times New Roman" w:hAnsi="Times New Roman" w:cs="Times New Roman"/>
          <w:sz w:val="28"/>
          <w:szCs w:val="28"/>
          <w:lang w:val="uk-UA"/>
        </w:rPr>
        <w:t>для сп</w:t>
      </w:r>
      <w:r w:rsidR="00A854F4" w:rsidRPr="00B40AFB">
        <w:rPr>
          <w:rFonts w:ascii="Times New Roman" w:hAnsi="Times New Roman" w:cs="Times New Roman"/>
          <w:sz w:val="28"/>
          <w:szCs w:val="28"/>
          <w:lang w:val="uk-UA"/>
        </w:rPr>
        <w:t xml:space="preserve">оживачів </w:t>
      </w:r>
      <w:proofErr w:type="spellStart"/>
      <w:r w:rsidR="00A854F4" w:rsidRPr="00B40AFB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A854F4" w:rsidRPr="00B40AFB">
        <w:rPr>
          <w:rFonts w:ascii="Times New Roman" w:hAnsi="Times New Roman" w:cs="Times New Roman"/>
          <w:sz w:val="28"/>
          <w:szCs w:val="28"/>
          <w:lang w:val="uk-UA"/>
        </w:rPr>
        <w:t xml:space="preserve"> «ДТЕК ПАВЛОГРАДВУГІ</w:t>
      </w:r>
      <w:r w:rsidRPr="00B40AFB">
        <w:rPr>
          <w:rFonts w:ascii="Times New Roman" w:hAnsi="Times New Roman" w:cs="Times New Roman"/>
          <w:sz w:val="28"/>
          <w:szCs w:val="28"/>
          <w:lang w:val="uk-UA"/>
        </w:rPr>
        <w:t>ЛЛЯ»</w:t>
      </w:r>
    </w:p>
    <w:p w:rsidR="00782815" w:rsidRPr="00B40AFB" w:rsidRDefault="00782815" w:rsidP="00A854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2815" w:rsidRPr="00845410" w:rsidRDefault="0078281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Тариф на централізоване водопостачання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ПрАТ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«ДТЕК ПАВЛОГРАДВУ</w:t>
      </w:r>
      <w:r w:rsidR="008C210B" w:rsidRPr="00845410">
        <w:rPr>
          <w:rFonts w:ascii="Times New Roman" w:hAnsi="Times New Roman" w:cs="Times New Roman"/>
          <w:sz w:val="27"/>
          <w:szCs w:val="27"/>
          <w:lang w:val="uk-UA"/>
        </w:rPr>
        <w:t>ГІ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ЛЛЯ» містить тариф ДМП ВКГ «Дніпро-Західний Донбас» (далі «ДЗД»).</w:t>
      </w:r>
    </w:p>
    <w:p w:rsidR="008C210B" w:rsidRPr="00845410" w:rsidRDefault="0078281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При розрахунках планового тарифу на централізоване водопостачання для споживачів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ПрАТ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«ДТЕК ПАВЛОГРАДВУ</w:t>
      </w:r>
      <w:r w:rsidR="008C210B" w:rsidRPr="00845410">
        <w:rPr>
          <w:rFonts w:ascii="Times New Roman" w:hAnsi="Times New Roman" w:cs="Times New Roman"/>
          <w:sz w:val="27"/>
          <w:szCs w:val="27"/>
          <w:lang w:val="uk-UA"/>
        </w:rPr>
        <w:t>ГІ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ЛЛЯ», </w:t>
      </w:r>
      <w:r w:rsidR="008C210B" w:rsidRPr="00845410">
        <w:rPr>
          <w:rFonts w:ascii="Times New Roman" w:hAnsi="Times New Roman" w:cs="Times New Roman"/>
          <w:sz w:val="27"/>
          <w:szCs w:val="27"/>
          <w:lang w:val="uk-UA"/>
        </w:rPr>
        <w:t>які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розташовані на території будівельної бази м. Павлоград</w:t>
      </w:r>
      <w:r w:rsidR="008C210B" w:rsidRPr="00845410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у прямих матеріальних витратах на покупну воду, згідно </w:t>
      </w:r>
      <w:r w:rsidR="008C210B" w:rsidRPr="00845410">
        <w:rPr>
          <w:rFonts w:ascii="Times New Roman" w:hAnsi="Times New Roman" w:cs="Times New Roman"/>
          <w:sz w:val="27"/>
          <w:szCs w:val="27"/>
          <w:lang w:val="uk-UA"/>
        </w:rPr>
        <w:t>з п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останов</w:t>
      </w:r>
      <w:r w:rsidR="008C210B" w:rsidRPr="00845410">
        <w:rPr>
          <w:rFonts w:ascii="Times New Roman" w:hAnsi="Times New Roman" w:cs="Times New Roman"/>
          <w:sz w:val="27"/>
          <w:szCs w:val="27"/>
          <w:lang w:val="uk-UA"/>
        </w:rPr>
        <w:t>ою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НКРЕКП від 16.12.2022 №2499 </w:t>
      </w:r>
      <w:r w:rsidR="008C210B" w:rsidRPr="00845410">
        <w:rPr>
          <w:rFonts w:ascii="Times New Roman" w:hAnsi="Times New Roman" w:cs="Times New Roman"/>
          <w:sz w:val="27"/>
          <w:szCs w:val="27"/>
          <w:lang w:val="uk-UA"/>
        </w:rPr>
        <w:t>врахований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тариф «ДЗД» 15,45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без урахування ПДВ. При плановому об'ємі водопостачання стороннім споживачам у розмірі 19,212 тис.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на рік, передбачені витрати</w:t>
      </w:r>
      <w:r w:rsidR="008C210B" w:rsidRPr="00845410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8C210B" w:rsidRPr="00845410" w:rsidRDefault="00782815" w:rsidP="00552A2D">
      <w:pPr>
        <w:pStyle w:val="2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15,45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C210B" w:rsidRPr="00845410">
        <w:rPr>
          <w:rFonts w:ascii="Times New Roman" w:hAnsi="Times New Roman" w:cs="Times New Roman"/>
          <w:sz w:val="27"/>
          <w:szCs w:val="27"/>
          <w:lang w:val="uk-UA"/>
        </w:rPr>
        <w:sym w:font="Symbol" w:char="F0B4"/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19,212тис.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= 296,825 тис.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>,</w:t>
      </w:r>
    </w:p>
    <w:p w:rsidR="00552A2D" w:rsidRPr="00845410" w:rsidRDefault="00552A2D" w:rsidP="00552A2D">
      <w:pPr>
        <w:pStyle w:val="2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З 01.06.2024 тариф «ДЗД» 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становить 25,83 </w:t>
      </w:r>
      <w:proofErr w:type="spellStart"/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(без ПДВ). Таким чином маємо значне зростання:</w:t>
      </w:r>
    </w:p>
    <w:p w:rsidR="00782815" w:rsidRPr="00845410" w:rsidRDefault="00552A2D" w:rsidP="00552A2D">
      <w:pPr>
        <w:pStyle w:val="2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>25,83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C210B" w:rsidRPr="00845410">
        <w:rPr>
          <w:rFonts w:ascii="Times New Roman" w:hAnsi="Times New Roman" w:cs="Times New Roman"/>
          <w:sz w:val="27"/>
          <w:szCs w:val="27"/>
          <w:lang w:val="uk-UA"/>
        </w:rPr>
        <w:sym w:font="Symbol" w:char="F0B4"/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19,212 тис. м</w:t>
      </w:r>
      <w:r w:rsidR="00782815"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>= 496,246 тис. грн.</w:t>
      </w:r>
    </w:p>
    <w:p w:rsidR="00E671BB" w:rsidRPr="00845410" w:rsidRDefault="0078281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У зв'язку з тим, що Національна комісія, що здійснює державне регулювання у сферах енергетики та комунальних послуг, встановила тариф «ДЗД» для споживачів, які є суб'єктами господарювання у сфері централізованого водопостачання та водовідведення 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25,83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1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(без податку на додану вартість), який вступив в силу 01.06.2024 після опублікування Постанови від 28.05.2024 №1024 на офіційному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веб-сайті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Регулятора 28.05.2024,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ПрАТ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«ДТЕК ПАВЛОГРАДВУ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ГІ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ЛЛЯ» придбає покупну воду у «ДЗД» за ціною 25,83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1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(без 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ПДВ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) з 01.06.2024, що спричинило збільшення витрат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ПрАТ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«ДТЕК ПАВЛОГРАДВУ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ГІ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ЛЛЯ» на покупну воду. </w:t>
      </w:r>
    </w:p>
    <w:p w:rsidR="00782815" w:rsidRPr="00845410" w:rsidRDefault="0078281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Згідно 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з 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п. 3.1. договору 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від 01.01.2024 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№217Л/590-ПУ-СУ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вартість послуг визначається за тарифом, установленим уповноваженим органом.</w:t>
      </w:r>
    </w:p>
    <w:p w:rsidR="00782815" w:rsidRPr="00845410" w:rsidRDefault="0078281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>Отже, зростання прямих матеріальних витрат у собівартості послуги викликано зростанням тарифу «ДЗД» з 15,45 грн. до 25,83 грн., у розмірі 10,38 грн. за 1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(на 59,81%) без ПДВ 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зростанням витрат на 10,38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х 19,212 тис.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= 199,421 тис. грн. Також у зв'язку з ростом інфляції, та зростанням загальновиробничих витрат у собівартості послуг водопостачання, здійснено перерахунок собівартості інших прямих, та загальновиробничих витрат, які останній раз розраховувались у складі тарифу в 2017р</w:t>
      </w:r>
      <w:r w:rsidR="00825D3A" w:rsidRPr="00845410">
        <w:rPr>
          <w:rFonts w:ascii="Times New Roman" w:hAnsi="Times New Roman" w:cs="Times New Roman"/>
          <w:sz w:val="27"/>
          <w:szCs w:val="27"/>
          <w:lang w:val="uk-UA"/>
        </w:rPr>
        <w:t>оці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82815" w:rsidRPr="00845410" w:rsidRDefault="0078281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>Враховуючи зростання наведених економічних чинників, що не залежать від підприємства, та розрахунку вищезазначених складових тарифу на централізоване водопостачання для споживачів, розташованих на території будівельної бази м. Павлоград</w:t>
      </w:r>
      <w:r w:rsidR="00825D3A" w:rsidRPr="00845410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, середньозважений розрахований тариф становить 42,03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без ПДВ </w:t>
      </w:r>
      <w:r w:rsidR="00825D3A" w:rsidRPr="00845410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50,43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 ПДВ, при попередньому діючому тарифі </w:t>
      </w:r>
      <w:r w:rsidR="00825D3A" w:rsidRPr="00845410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18,35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без ПДВ </w:t>
      </w:r>
      <w:r w:rsidR="00825D3A" w:rsidRPr="00845410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22,02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 ПДВ.</w:t>
      </w:r>
    </w:p>
    <w:p w:rsidR="00782815" w:rsidRPr="00845410" w:rsidRDefault="0078281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Для беззбиткової роботи підприємства у 2024 необхідне встановлення розрахованого тарифу 50,43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 ПДВ за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на централізоване водопостачання споживачів будівельної бази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м.Павлоград</w:t>
      </w:r>
      <w:r w:rsidR="00825D3A" w:rsidRPr="00845410">
        <w:rPr>
          <w:rFonts w:ascii="Times New Roman" w:hAnsi="Times New Roman" w:cs="Times New Roman"/>
          <w:sz w:val="27"/>
          <w:szCs w:val="27"/>
          <w:lang w:val="uk-UA"/>
        </w:rPr>
        <w:t>а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82815" w:rsidRPr="00845410" w:rsidRDefault="00782815" w:rsidP="00A854F4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A854F4" w:rsidRPr="00845410" w:rsidRDefault="00A854F4" w:rsidP="00845410">
      <w:pPr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Директор ФІЛІЇ «СОЦВУГІЛЛЯ» </w:t>
      </w:r>
    </w:p>
    <w:p w:rsidR="00A854F4" w:rsidRPr="00845410" w:rsidRDefault="00A854F4" w:rsidP="00845410">
      <w:pPr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ПрАТ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«ДТЕК ПАВЛОГРАДВУГІЛЛЯ»</w:t>
      </w:r>
    </w:p>
    <w:p w:rsidR="00845410" w:rsidRPr="00845410" w:rsidRDefault="008828B4" w:rsidP="008828B4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8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РОЗРАХУНОК </w:t>
      </w:r>
    </w:p>
    <w:p w:rsidR="004305E3" w:rsidRDefault="008828B4" w:rsidP="008828B4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8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повної собівартості та середньозваженого тарифу на цент</w:t>
      </w:r>
      <w:r w:rsidR="00430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ралізоване водопостачання </w:t>
      </w:r>
      <w:proofErr w:type="spellStart"/>
      <w:r w:rsidR="00430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ПрАТ</w:t>
      </w:r>
      <w:proofErr w:type="spellEnd"/>
      <w:r w:rsidR="00430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«ДТЕК ПАВЛОГРАДВУГІЛЛЯ»</w:t>
      </w:r>
    </w:p>
    <w:p w:rsidR="008828B4" w:rsidRPr="00845410" w:rsidRDefault="008828B4" w:rsidP="008828B4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8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території будівельної бази м. </w:t>
      </w:r>
      <w:r w:rsidRPr="008454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Павлограда</w:t>
      </w:r>
    </w:p>
    <w:p w:rsidR="008828B4" w:rsidRPr="00B40AFB" w:rsidRDefault="008828B4" w:rsidP="00A854F4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9164" w:type="dxa"/>
        <w:tblLook w:val="04A0"/>
      </w:tblPr>
      <w:tblGrid>
        <w:gridCol w:w="1101"/>
        <w:gridCol w:w="4819"/>
        <w:gridCol w:w="851"/>
        <w:gridCol w:w="1196"/>
        <w:gridCol w:w="1197"/>
      </w:tblGrid>
      <w:tr w:rsidR="00B40AFB" w:rsidRPr="00B40AFB" w:rsidTr="00B40AFB">
        <w:tc>
          <w:tcPr>
            <w:tcW w:w="1101" w:type="dxa"/>
            <w:vMerge w:val="restart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4819" w:type="dxa"/>
            <w:vMerge w:val="restart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Показник</w:t>
            </w:r>
          </w:p>
        </w:tc>
        <w:tc>
          <w:tcPr>
            <w:tcW w:w="851" w:type="dxa"/>
            <w:vMerge w:val="restart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Код рядка</w:t>
            </w:r>
          </w:p>
        </w:tc>
        <w:tc>
          <w:tcPr>
            <w:tcW w:w="2393" w:type="dxa"/>
            <w:gridSpan w:val="2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Плановий період 2024р.</w:t>
            </w:r>
          </w:p>
        </w:tc>
      </w:tr>
      <w:tr w:rsidR="00B40AFB" w:rsidRPr="00B40AFB" w:rsidTr="00B40AFB">
        <w:tc>
          <w:tcPr>
            <w:tcW w:w="1101" w:type="dxa"/>
            <w:vMerge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 xml:space="preserve">усього, </w:t>
            </w:r>
            <w:proofErr w:type="spellStart"/>
            <w:r w:rsidRPr="00B40AFB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40AFB">
              <w:rPr>
                <w:rFonts w:ascii="Times New Roman" w:hAnsi="Times New Roman" w:cs="Times New Roman"/>
                <w:lang w:val="uk-UA"/>
              </w:rPr>
              <w:t>грн</w:t>
            </w:r>
            <w:proofErr w:type="spellEnd"/>
            <w:r w:rsidRPr="00B40AFB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B40AFB">
              <w:rPr>
                <w:rFonts w:ascii="Times New Roman" w:hAnsi="Times New Roman" w:cs="Times New Roman"/>
                <w:lang w:val="uk-UA"/>
              </w:rPr>
              <w:t>куб.м</w:t>
            </w:r>
            <w:proofErr w:type="spellEnd"/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757,99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39,45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прямі матеріальні витрати, у тому числі: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549,40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28,60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1.1.1.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покупна вода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496,25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25,83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1.1.2.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покупна вода у природному стані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1.1.3.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електроенергія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1.1.4.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інші прямі матеріальні витрати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53,16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2,77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прямі витрати на оплату праці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інші прямі витрати, у тому числі: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121,85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6,34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1.3.1.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1.3.2.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121,85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6,34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1.3.3.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інші прямі витрати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загальновиробничі витрати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86,74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4,52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Адміністративні витрати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7,04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0,37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Витрати на збут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3,96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0,21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Інші операційні витрати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Фінансові витрати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Усього витрат повної собівартості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768,99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40,03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Планований прибуток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38,45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2,00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7.1.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податок на прибуток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7.2.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чистий прибуток, у тому числі: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7.2.1.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дивіденди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7.2.2.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резервний фонд (капітал)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7.2.3.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7.2.4.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інше використання прибутку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38,45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2,00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D63B89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Вартість водопостачання споживачам за відповідними тарифами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4A21C1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Обсяг водопостачання споживачам, усього, у т. ч. на потреби (</w:t>
            </w:r>
            <w:proofErr w:type="spellStart"/>
            <w:r w:rsidRPr="00B40AFB">
              <w:rPr>
                <w:rFonts w:ascii="Times New Roman" w:hAnsi="Times New Roman" w:cs="Times New Roman"/>
                <w:lang w:val="uk-UA"/>
              </w:rPr>
              <w:t>тис.куб.м</w:t>
            </w:r>
            <w:proofErr w:type="spellEnd"/>
            <w:r w:rsidRPr="00B40AFB">
              <w:rPr>
                <w:rFonts w:ascii="Times New Roman" w:hAnsi="Times New Roman" w:cs="Times New Roman"/>
                <w:lang w:val="uk-UA"/>
              </w:rPr>
              <w:t>):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4A21C1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9.1.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4A21C1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9.2.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бюджетних установ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4A21C1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9.3.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інших споживачів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19,21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4A21C1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9.4.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4A21C1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Середньозважений тариф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42,03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42,03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4A21C1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819" w:type="dxa"/>
            <w:vAlign w:val="center"/>
          </w:tcPr>
          <w:p w:rsidR="00B40AFB" w:rsidRPr="00B40AFB" w:rsidRDefault="00B40AFB" w:rsidP="00C867DE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ПДВ, 20%</w:t>
            </w:r>
          </w:p>
        </w:tc>
        <w:tc>
          <w:tcPr>
            <w:tcW w:w="851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1196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8,41</w:t>
            </w:r>
          </w:p>
        </w:tc>
        <w:tc>
          <w:tcPr>
            <w:tcW w:w="1197" w:type="dxa"/>
            <w:vAlign w:val="center"/>
          </w:tcPr>
          <w:p w:rsidR="00B40AFB" w:rsidRPr="00B40AFB" w:rsidRDefault="00B40AFB" w:rsidP="00B4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8,41</w:t>
            </w:r>
          </w:p>
        </w:tc>
      </w:tr>
      <w:tr w:rsidR="00B40AFB" w:rsidRPr="00B40AFB" w:rsidTr="00B40AFB">
        <w:tc>
          <w:tcPr>
            <w:tcW w:w="1101" w:type="dxa"/>
            <w:vAlign w:val="center"/>
          </w:tcPr>
          <w:p w:rsidR="00B40AFB" w:rsidRPr="00B40AFB" w:rsidRDefault="00B40AFB" w:rsidP="004A21C1">
            <w:pPr>
              <w:rPr>
                <w:rFonts w:ascii="Times New Roman" w:hAnsi="Times New Roman" w:cs="Times New Roman"/>
                <w:lang w:val="uk-UA"/>
              </w:rPr>
            </w:pPr>
            <w:r w:rsidRPr="00B40AFB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4819" w:type="dxa"/>
            <w:vAlign w:val="center"/>
          </w:tcPr>
          <w:p w:rsidR="00B40AFB" w:rsidRPr="00845410" w:rsidRDefault="00B40AFB" w:rsidP="00C867D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45410">
              <w:rPr>
                <w:rFonts w:ascii="Times New Roman" w:hAnsi="Times New Roman" w:cs="Times New Roman"/>
                <w:b/>
                <w:lang w:val="uk-UA"/>
              </w:rPr>
              <w:t>Тариф на централізоване водопостачання з урахуванням ПДВ</w:t>
            </w:r>
          </w:p>
        </w:tc>
        <w:tc>
          <w:tcPr>
            <w:tcW w:w="851" w:type="dxa"/>
            <w:vAlign w:val="center"/>
          </w:tcPr>
          <w:p w:rsidR="00B40AFB" w:rsidRPr="00845410" w:rsidRDefault="00B40AFB" w:rsidP="00B40A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96" w:type="dxa"/>
            <w:vAlign w:val="center"/>
          </w:tcPr>
          <w:p w:rsidR="00B40AFB" w:rsidRPr="00845410" w:rsidRDefault="00B40AFB" w:rsidP="00B40A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5410">
              <w:rPr>
                <w:rFonts w:ascii="Times New Roman" w:hAnsi="Times New Roman" w:cs="Times New Roman"/>
                <w:b/>
                <w:lang w:val="uk-UA"/>
              </w:rPr>
              <w:t>50,43</w:t>
            </w:r>
          </w:p>
        </w:tc>
        <w:tc>
          <w:tcPr>
            <w:tcW w:w="1197" w:type="dxa"/>
            <w:vAlign w:val="center"/>
          </w:tcPr>
          <w:p w:rsidR="00B40AFB" w:rsidRPr="00845410" w:rsidRDefault="00B40AFB" w:rsidP="00B40A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5410">
              <w:rPr>
                <w:rFonts w:ascii="Times New Roman" w:hAnsi="Times New Roman" w:cs="Times New Roman"/>
                <w:b/>
                <w:lang w:val="uk-UA"/>
              </w:rPr>
              <w:t>50,43</w:t>
            </w:r>
          </w:p>
        </w:tc>
      </w:tr>
    </w:tbl>
    <w:p w:rsidR="008828B4" w:rsidRPr="00B40AFB" w:rsidRDefault="008828B4" w:rsidP="00A854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828B4" w:rsidRPr="00B40AFB" w:rsidSect="00B40AF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782815"/>
    <w:rsid w:val="002443F1"/>
    <w:rsid w:val="004305E3"/>
    <w:rsid w:val="00552A2D"/>
    <w:rsid w:val="00607CB7"/>
    <w:rsid w:val="00782815"/>
    <w:rsid w:val="007B29AA"/>
    <w:rsid w:val="007B708A"/>
    <w:rsid w:val="008153C8"/>
    <w:rsid w:val="00825D3A"/>
    <w:rsid w:val="00845410"/>
    <w:rsid w:val="008828B4"/>
    <w:rsid w:val="008C210B"/>
    <w:rsid w:val="00A64133"/>
    <w:rsid w:val="00A84CA7"/>
    <w:rsid w:val="00A854F4"/>
    <w:rsid w:val="00B40AFB"/>
    <w:rsid w:val="00BD6CAE"/>
    <w:rsid w:val="00E6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D6CAE"/>
    <w:pPr>
      <w:suppressAutoHyphens/>
    </w:pPr>
    <w:rPr>
      <w:rFonts w:ascii="Arial" w:hAnsi="Arial" w:cs="Calibri"/>
      <w:sz w:val="22"/>
      <w:szCs w:val="22"/>
      <w:lang w:val="en-US" w:eastAsia="ar-SA"/>
    </w:rPr>
  </w:style>
  <w:style w:type="paragraph" w:styleId="1">
    <w:name w:val="heading 1"/>
    <w:basedOn w:val="a"/>
    <w:next w:val="a"/>
    <w:link w:val="10"/>
    <w:qFormat/>
    <w:rsid w:val="00BD6CAE"/>
    <w:pPr>
      <w:keepNext/>
      <w:pageBreakBefore/>
      <w:tabs>
        <w:tab w:val="left" w:pos="567"/>
      </w:tabs>
      <w:spacing w:before="240" w:after="60" w:line="276" w:lineRule="auto"/>
      <w:outlineLvl w:val="0"/>
    </w:pPr>
    <w:rPr>
      <w:rFonts w:eastAsia="Times New Roman"/>
      <w:b/>
      <w:bCs/>
      <w:kern w:val="1"/>
      <w:sz w:val="28"/>
      <w:szCs w:val="32"/>
    </w:rPr>
  </w:style>
  <w:style w:type="paragraph" w:styleId="2">
    <w:name w:val="heading 2"/>
    <w:basedOn w:val="a"/>
    <w:next w:val="a"/>
    <w:link w:val="20"/>
    <w:qFormat/>
    <w:rsid w:val="00BD6CAE"/>
    <w:pPr>
      <w:keepNext/>
      <w:keepLines/>
      <w:numPr>
        <w:ilvl w:val="1"/>
        <w:numId w:val="4"/>
      </w:numPr>
      <w:tabs>
        <w:tab w:val="left" w:pos="567"/>
      </w:tabs>
      <w:spacing w:before="240" w:after="60"/>
      <w:outlineLvl w:val="1"/>
    </w:pPr>
    <w:rPr>
      <w:rFonts w:eastAsia="Times New Roman"/>
      <w:b/>
      <w:bCs/>
      <w:sz w:val="24"/>
      <w:szCs w:val="26"/>
      <w:lang w:val="uk-UA"/>
    </w:rPr>
  </w:style>
  <w:style w:type="paragraph" w:styleId="3">
    <w:name w:val="heading 3"/>
    <w:basedOn w:val="a"/>
    <w:next w:val="a"/>
    <w:link w:val="30"/>
    <w:qFormat/>
    <w:rsid w:val="00BD6CAE"/>
    <w:pPr>
      <w:keepNext/>
      <w:keepLines/>
      <w:tabs>
        <w:tab w:val="left" w:pos="709"/>
      </w:tabs>
      <w:spacing w:before="120"/>
      <w:outlineLvl w:val="2"/>
    </w:pPr>
    <w:rPr>
      <w:rFonts w:eastAsia="Times New Roman"/>
      <w:b/>
      <w:bCs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qFormat/>
    <w:rsid w:val="00BD6CAE"/>
    <w:pPr>
      <w:keepNext/>
      <w:keepLines/>
      <w:tabs>
        <w:tab w:val="left" w:pos="851"/>
      </w:tabs>
      <w:spacing w:before="200"/>
      <w:outlineLvl w:val="3"/>
    </w:pPr>
    <w:rPr>
      <w:rFonts w:eastAsia="Times New Roman"/>
      <w:bCs/>
      <w:i/>
      <w:iCs/>
      <w:sz w:val="20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CAE"/>
    <w:rPr>
      <w:rFonts w:ascii="Arial" w:hAnsi="Arial" w:cs="Calibri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D6CAE"/>
    <w:rPr>
      <w:rFonts w:ascii="Arial" w:hAnsi="Arial" w:cs="Calibri"/>
      <w:b/>
      <w:bCs/>
      <w:sz w:val="24"/>
      <w:szCs w:val="26"/>
      <w:lang w:val="uk-UA" w:eastAsia="ar-SA"/>
    </w:rPr>
  </w:style>
  <w:style w:type="character" w:customStyle="1" w:styleId="30">
    <w:name w:val="Заголовок 3 Знак"/>
    <w:basedOn w:val="a0"/>
    <w:link w:val="3"/>
    <w:rsid w:val="00BD6CAE"/>
    <w:rPr>
      <w:rFonts w:ascii="Arial" w:hAnsi="Arial" w:cs="Calibri"/>
      <w:b/>
      <w:bCs/>
      <w:i/>
      <w:lang w:val="uk-UA" w:eastAsia="ar-SA"/>
    </w:rPr>
  </w:style>
  <w:style w:type="character" w:customStyle="1" w:styleId="40">
    <w:name w:val="Заголовок 4 Знак"/>
    <w:basedOn w:val="a0"/>
    <w:link w:val="4"/>
    <w:rsid w:val="00BD6CAE"/>
    <w:rPr>
      <w:rFonts w:ascii="Arial" w:hAnsi="Arial" w:cs="Calibri"/>
      <w:bCs/>
      <w:i/>
      <w:iCs/>
      <w:u w:val="single"/>
      <w:lang w:val="uk-UA" w:eastAsia="ar-SA"/>
    </w:rPr>
  </w:style>
  <w:style w:type="paragraph" w:styleId="a3">
    <w:name w:val="Title"/>
    <w:basedOn w:val="a"/>
    <w:next w:val="a"/>
    <w:link w:val="a4"/>
    <w:qFormat/>
    <w:rsid w:val="00BD6CAE"/>
    <w:pPr>
      <w:keepNext/>
      <w:spacing w:before="240" w:after="120"/>
    </w:pPr>
    <w:rPr>
      <w:rFonts w:eastAsia="Lucida Sans Unicode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BD6CAE"/>
    <w:rPr>
      <w:rFonts w:ascii="Arial" w:eastAsia="Lucida Sans Unicode" w:hAnsi="Arial" w:cs="Mangal"/>
      <w:sz w:val="28"/>
      <w:szCs w:val="28"/>
      <w:lang w:val="en-US" w:eastAsia="ar-SA"/>
    </w:rPr>
  </w:style>
  <w:style w:type="paragraph" w:styleId="a5">
    <w:name w:val="Subtitle"/>
    <w:basedOn w:val="a"/>
    <w:next w:val="a6"/>
    <w:link w:val="a7"/>
    <w:qFormat/>
    <w:rsid w:val="00BD6CAE"/>
    <w:rPr>
      <w:rFonts w:eastAsiaTheme="majorEastAsia"/>
      <w:b/>
      <w:i/>
      <w:sz w:val="20"/>
      <w:szCs w:val="20"/>
    </w:rPr>
  </w:style>
  <w:style w:type="character" w:customStyle="1" w:styleId="a7">
    <w:name w:val="Подзаголовок Знак"/>
    <w:basedOn w:val="a0"/>
    <w:link w:val="a5"/>
    <w:rsid w:val="00BD6CAE"/>
    <w:rPr>
      <w:rFonts w:ascii="Arial" w:eastAsiaTheme="majorEastAsia" w:hAnsi="Arial" w:cs="Calibri"/>
      <w:b/>
      <w:i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D6CA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D6CAE"/>
    <w:rPr>
      <w:rFonts w:ascii="Arial" w:eastAsia="Calibri" w:hAnsi="Arial" w:cs="Calibri"/>
      <w:sz w:val="22"/>
      <w:szCs w:val="22"/>
      <w:lang w:val="en-US" w:eastAsia="ar-SA"/>
    </w:rPr>
  </w:style>
  <w:style w:type="character" w:styleId="a9">
    <w:name w:val="Strong"/>
    <w:qFormat/>
    <w:rsid w:val="00BD6CAE"/>
    <w:rPr>
      <w:b/>
      <w:bCs/>
    </w:rPr>
  </w:style>
  <w:style w:type="paragraph" w:styleId="aa">
    <w:name w:val="No Spacing"/>
    <w:uiPriority w:val="1"/>
    <w:qFormat/>
    <w:rsid w:val="00BD6CAE"/>
    <w:pPr>
      <w:suppressAutoHyphens/>
    </w:pPr>
    <w:rPr>
      <w:rFonts w:ascii="Calibri" w:hAnsi="Calibri" w:cs="Calibri"/>
      <w:sz w:val="22"/>
      <w:szCs w:val="22"/>
      <w:lang w:val="uk-UA" w:eastAsia="ar-SA"/>
    </w:rPr>
  </w:style>
  <w:style w:type="paragraph" w:styleId="ab">
    <w:name w:val="List Paragraph"/>
    <w:basedOn w:val="a"/>
    <w:qFormat/>
    <w:rsid w:val="00BD6CAE"/>
    <w:pPr>
      <w:ind w:left="720"/>
    </w:pPr>
  </w:style>
  <w:style w:type="paragraph" w:styleId="ac">
    <w:name w:val="TOC Heading"/>
    <w:basedOn w:val="1"/>
    <w:next w:val="a"/>
    <w:qFormat/>
    <w:rsid w:val="00BD6CAE"/>
    <w:pPr>
      <w:keepLines/>
      <w:pageBreakBefore w:val="0"/>
      <w:tabs>
        <w:tab w:val="clear" w:pos="567"/>
      </w:tabs>
      <w:spacing w:before="480" w:after="0"/>
    </w:pPr>
    <w:rPr>
      <w:rFonts w:ascii="Cambria" w:hAnsi="Cambria" w:cs="Times New Roman"/>
      <w:color w:val="365F91"/>
      <w:szCs w:val="28"/>
    </w:rPr>
  </w:style>
  <w:style w:type="character" w:customStyle="1" w:styleId="21">
    <w:name w:val="Основной текст (2)_"/>
    <w:basedOn w:val="a0"/>
    <w:link w:val="22"/>
    <w:rsid w:val="00782815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2815"/>
    <w:pPr>
      <w:widowControl w:val="0"/>
      <w:shd w:val="clear" w:color="auto" w:fill="FFFFFF"/>
      <w:suppressAutoHyphens w:val="0"/>
      <w:spacing w:before="1740" w:after="360" w:line="0" w:lineRule="atLeast"/>
      <w:ind w:hanging="360"/>
      <w:jc w:val="center"/>
    </w:pPr>
    <w:rPr>
      <w:rFonts w:ascii="Calibri" w:hAnsi="Calibri"/>
      <w:lang w:val="ru-RU" w:eastAsia="ru-RU"/>
    </w:rPr>
  </w:style>
  <w:style w:type="character" w:customStyle="1" w:styleId="8">
    <w:name w:val="Основной текст (8)_"/>
    <w:basedOn w:val="a0"/>
    <w:link w:val="80"/>
    <w:rsid w:val="00782815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82815"/>
    <w:pPr>
      <w:widowControl w:val="0"/>
      <w:shd w:val="clear" w:color="auto" w:fill="FFFFFF"/>
      <w:suppressAutoHyphens w:val="0"/>
      <w:spacing w:before="840" w:line="292" w:lineRule="exact"/>
      <w:jc w:val="center"/>
    </w:pPr>
    <w:rPr>
      <w:rFonts w:ascii="Calibri" w:hAnsi="Calibri"/>
      <w:b/>
      <w:bCs/>
      <w:lang w:val="ru-RU" w:eastAsia="ru-RU"/>
    </w:rPr>
  </w:style>
  <w:style w:type="table" w:styleId="ad">
    <w:name w:val="Table Grid"/>
    <w:basedOn w:val="a1"/>
    <w:uiPriority w:val="59"/>
    <w:rsid w:val="00882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ekonom2</dc:creator>
  <cp:lastModifiedBy>ekonom2</cp:lastModifiedBy>
  <cp:revision>4</cp:revision>
  <dcterms:created xsi:type="dcterms:W3CDTF">2024-07-01T12:55:00Z</dcterms:created>
  <dcterms:modified xsi:type="dcterms:W3CDTF">2024-07-02T05:58:00Z</dcterms:modified>
</cp:coreProperties>
</file>