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  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E0749A">
        <w:rPr>
          <w:rFonts w:ascii="Times New Roman" w:hAnsi="Times New Roman" w:cs="Times New Roman"/>
          <w:sz w:val="24"/>
          <w:lang w:val="uk-UA"/>
        </w:rPr>
        <w:t>№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__________</w:t>
      </w:r>
      <w:bookmarkStart w:id="0" w:name="_GoBack"/>
      <w:bookmarkEnd w:id="0"/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6386F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 напряму діяльності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2026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 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Активізація творчої активності педагогічних кадрів,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кожного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учня та максимальне розкриття потенціалу</w:t>
            </w: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Участь в обласних спортивних змаганнях та конкурсі Малої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Придбання нагрудних знакі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освітнього середовища для  дітей з особливими потребами, подолання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ітектурних бар'єрів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1.7 Започаткування щорічного конкурсу серед 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конкурентоспроможності, залучення інвестицій.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Створення позитивного іміджу передбачає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 "Освіта для дорослих"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права кожної повнолітньої особи на безперервне навчання з урахуванням її особистісних потреб,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іоритетів суспільного розвитку та потреб економіки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іноземним мовам сьогодні набуло значного поширення, адже входження України в європейський освітній прості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3B3155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A61DC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1.8.2. Проект створення  міського розмовного клубу з удосконалення володіння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державною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мовою «Говорімо українською!» для дорослих на базі Ліцею №1</w:t>
            </w:r>
            <w:r w:rsidR="009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41</w:t>
            </w:r>
          </w:p>
          <w:p w:rsidR="00FC66B7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проекту надасть змогу опанувати державну мову 100 жителям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 щорічно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  <w:p w:rsidR="00FC66B7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1.9.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1.10.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Впровадження нової системи професійного розвитку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DF19AE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 заході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впорядкуванню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проекті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DF19AE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проекту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3.4.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 Проведення факультативних занять для здобувачів освіти закладів загальної середньої освіти «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Зміцнення матеріальн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Default="00DF19AE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112835</w:t>
            </w:r>
          </w:p>
          <w:p w:rsidR="00FC66B7" w:rsidRPr="00FC66B7" w:rsidRDefault="001307B0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832</w:t>
            </w:r>
            <w:r w:rsidR="00914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DF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106828</w:t>
            </w:r>
          </w:p>
          <w:p w:rsidR="00D666C3" w:rsidRPr="00CA3875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743</w:t>
            </w:r>
            <w:r w:rsidR="00914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Придбання предметі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13865</w:t>
            </w:r>
          </w:p>
          <w:p w:rsidR="001E119F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012</w:t>
            </w:r>
            <w:r w:rsidR="001E11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тарно-г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ігієнічних норм щодо утримання дітей в навчальних закладах. Облаштування шкіл меблями, обладнанням, дидактичними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іалами необхідними для створення освітнього середовища дітей з особливими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3786</w:t>
            </w:r>
          </w:p>
          <w:p w:rsidR="001E119F" w:rsidRPr="00813FF2" w:rsidRDefault="00AD106C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232</w:t>
            </w:r>
            <w:r w:rsidR="001E1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4.3 Забезпечення шкільних бібліотек художньою, довідковою, краєзнавчою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івного доступу до якісних освітніх послуг. Поповнення бібліотечних фондів шкіл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DF19AE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4.4 Використання здоров’язберігаючих технологій в умовах дошкільного закладу: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813FF2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4.7. Реставрація закладів-архітектурних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пам’яток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 Забезпечення співфінансування на придбання ноутбукі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AD106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126778</w:t>
            </w:r>
          </w:p>
          <w:p w:rsidR="00452ABB" w:rsidRPr="00452ABB" w:rsidRDefault="00AD106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216</w:t>
            </w:r>
            <w:r w:rsidR="00914A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Default="00AD106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110692</w:t>
            </w:r>
          </w:p>
          <w:p w:rsidR="003B78D6" w:rsidRPr="00FC66B7" w:rsidRDefault="00AD106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346</w:t>
            </w:r>
            <w:r w:rsidR="00914A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Відзначення переможців обласних та всеукраїнських олімпіад, конкурсів, змагань (премії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іського голови, грамоти,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системи виявлення і відбору обдарованої молоді та надання їй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іально-педагогічної та матеріальної підтримки.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 директорам та педагогам за складність та напруженість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114125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7.1. Організація відпочинку на базі установ та закладів освіти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14125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якості та різноманітності надання дітям послуг з  відпочинку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7.2.Організація оздоровлення та відпочинку шляхом придбання путівок та перевезення дітей, які потребують особливої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  <w:p w:rsidR="00FC66B7" w:rsidRPr="00FC66B7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  <w:p w:rsidR="00FC66B7" w:rsidRPr="00FC66B7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7.3. Компенсація на придбання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шкільної та спортивної форми для дітей-сиріт та позбавлених батьківського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696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7.4. Придбання новорічних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подарункі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дітей з ООП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  <w:r w:rsidR="00A95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</w:t>
            </w:r>
          </w:p>
          <w:p w:rsidR="00FC66B7" w:rsidRPr="00114125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849</w:t>
            </w:r>
            <w:r w:rsidR="001141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  <w:r w:rsidR="00A95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</w:t>
            </w:r>
          </w:p>
          <w:p w:rsidR="00FC66B7" w:rsidRPr="00114125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849</w:t>
            </w:r>
            <w:r w:rsidR="001141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03F" w:rsidRPr="00FC66B7" w:rsidTr="00EF5516">
        <w:trPr>
          <w:gridAfter w:val="4"/>
          <w:wAfter w:w="1623" w:type="dxa"/>
          <w:trHeight w:val="3968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Забезпечення безкоштовного харчування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Організація безкоштовного харчування дітей:</w:t>
            </w:r>
          </w:p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та</w:t>
            </w:r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hyperlink r:id="rId8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F1603F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F1603F">
              <w:rPr>
                <w:rFonts w:ascii="Times New Roman" w:hAnsi="Times New Roman" w:cs="Times New Roman"/>
                <w:lang w:val="uk-UA"/>
              </w:rPr>
              <w:t xml:space="preserve">закону </w:t>
            </w: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 xml:space="preserve">України «Про статус ветеранів війни, гарантії їх соціального захисту» 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F1603F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числа внутрішньо-</w:t>
            </w: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переміщених осіб та діти, які мають статус дитини, яка постраждала внаслідок воєнних дій і збройних конфліктів;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гімназіях, закладах </w:t>
            </w:r>
            <w:r w:rsidRPr="00F1603F">
              <w:rPr>
                <w:rFonts w:ascii="Times New Roman" w:hAnsi="Times New Roman" w:cs="Times New Roman"/>
                <w:b/>
                <w:lang w:val="uk-UA"/>
              </w:rPr>
              <w:lastRenderedPageBreak/>
              <w:t>дошкільної освіти міста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F1603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</w:t>
            </w: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FC66B7" w:rsidRDefault="00F1603F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3F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1603F" w:rsidRDefault="00F1603F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603F" w:rsidRPr="00C426C3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1603F" w:rsidRDefault="0079594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14480</w:t>
            </w:r>
          </w:p>
          <w:p w:rsidR="003F2B9B" w:rsidRPr="003F2B9B" w:rsidRDefault="0079594A" w:rsidP="00A95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</w:t>
            </w:r>
            <w:r w:rsidR="001141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 захист учасників освітнього процесу</w:t>
            </w:r>
          </w:p>
        </w:tc>
      </w:tr>
      <w:tr w:rsidR="00813FF2" w:rsidRPr="00FC66B7" w:rsidTr="00F1603F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1603F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03F" w:rsidRPr="00FC66B7" w:rsidTr="00F1603F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74027" w:rsidRDefault="0079594A" w:rsidP="008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14480</w:t>
            </w:r>
          </w:p>
          <w:p w:rsidR="00114125" w:rsidRPr="003F2B9B" w:rsidRDefault="0079594A" w:rsidP="008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</w:t>
            </w:r>
            <w:r w:rsidR="00874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1603F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Організація безкоштовного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м. Павлограда з особливими освітніми потребами до закладів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  <w:t>міста Дніпро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F5516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F5516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9.2 Впровадження програми "Проїзний квиток" для учнів з віддалених районів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FC66B7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Безкоштовний проїзд для учнів з віддалених районів проживання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FC66B7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9.3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 учнів 1-11 класів, які мешкають в районі  вул. Олени Пчілки та вул. Івана Богуна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551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EF5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FC66B7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551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F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FC66B7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Західнодонбаська, 29а)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9.5. Підвезення учнів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Початкової школи-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проведеної за програмою "ProZorro"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Підвезення учнів </w:t>
            </w:r>
            <w:proofErr w:type="gramStart"/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 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813D3" w:rsidRPr="00FC66B7" w:rsidTr="00590D54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1A098C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1A098C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1A098C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47EDE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813D3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ED6B8C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3724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Військово-патріотичне виховання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«Захист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ітчизни».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Проведення дитячо-юнацької військово-патріотичної гри "Сокіл"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("Джура");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3.Забезпечення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юнаків для участі  в стрільбах початкової вправи та військово-польових зборах;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4. Відзначення переможців міських змагань:  з допризовної фізичної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ідготовки,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турніру ім. І. Плосконоса;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5. Відзначення учасників міського квест-фестивалю "Моя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країна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Україна!"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705222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70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Виховання юних патріотів України на засадах національної гідності, патріотичної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ідомості, готовності до виконання громадянського і конституційного обов’язку</w:t>
            </w:r>
          </w:p>
        </w:tc>
      </w:tr>
      <w:tr w:rsidR="009813D3" w:rsidRPr="00FC66B7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705222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70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Навчання дітей дошкільного віку (разом з батьками)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ійської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«Family English»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№5, </w:t>
            </w:r>
            <w:r w:rsidR="003F0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Ліцею №7, Ліцею №9 імені Євгенія Єніна,</w:t>
            </w:r>
            <w:r w:rsidR="004B2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B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ПМЛ,</w:t>
            </w:r>
            <w:r w:rsidR="003F0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B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Ліцею </w:t>
            </w:r>
            <w:r w:rsidR="003B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№11,</w:t>
            </w:r>
            <w:r w:rsidR="003F0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Ліцею №17</w:t>
            </w:r>
            <w:r w:rsidR="003B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КЗПО «ПТДю»</w:t>
            </w:r>
            <w:r w:rsidR="003F0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залученням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фахових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направлений на вивчення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ійської мови </w:t>
            </w:r>
          </w:p>
        </w:tc>
      </w:tr>
      <w:tr w:rsidR="009813D3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Організація проходження медичного огляду працівниками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F75638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</w:t>
            </w:r>
            <w:r w:rsidR="00874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FC66B7" w:rsidRDefault="0087402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779</w:t>
            </w:r>
            <w:r w:rsidR="009813D3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 належних умов для проходження медичного огляду працівникам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установ освіти </w:t>
            </w:r>
          </w:p>
        </w:tc>
      </w:tr>
      <w:tr w:rsidR="009813D3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F75638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</w:t>
            </w:r>
            <w:r w:rsidR="00874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FC66B7" w:rsidRDefault="0087402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779</w:t>
            </w:r>
            <w:r w:rsidR="009813D3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C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4B6418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B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79594A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151039</w:t>
            </w:r>
          </w:p>
          <w:p w:rsidR="009813D3" w:rsidRPr="00452ABB" w:rsidRDefault="0079594A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776</w:t>
            </w:r>
            <w:r w:rsidR="009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46801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49565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13D3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452ABB" w:rsidRDefault="0079594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16733</w:t>
            </w:r>
          </w:p>
          <w:p w:rsidR="009813D3" w:rsidRPr="00452ABB" w:rsidRDefault="0079594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887</w:t>
            </w:r>
            <w:r w:rsidR="009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452ABB" w:rsidRDefault="0079594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134305</w:t>
            </w:r>
          </w:p>
          <w:p w:rsidR="009813D3" w:rsidRPr="00452ABB" w:rsidRDefault="0079594A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  <w:r w:rsidR="009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46123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48840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591" w:rsidRDefault="009C4591" w:rsidP="00FC66B7">
      <w:pPr>
        <w:spacing w:after="0" w:line="240" w:lineRule="auto"/>
      </w:pPr>
      <w:r>
        <w:separator/>
      </w:r>
    </w:p>
  </w:endnote>
  <w:endnote w:type="continuationSeparator" w:id="0">
    <w:p w:rsidR="009C4591" w:rsidRDefault="009C4591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591" w:rsidRDefault="009C4591" w:rsidP="00FC66B7">
      <w:pPr>
        <w:spacing w:after="0" w:line="240" w:lineRule="auto"/>
      </w:pPr>
      <w:r>
        <w:separator/>
      </w:r>
    </w:p>
  </w:footnote>
  <w:footnote w:type="continuationSeparator" w:id="0">
    <w:p w:rsidR="009C4591" w:rsidRDefault="009C4591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53594"/>
    <w:rsid w:val="00083739"/>
    <w:rsid w:val="00090701"/>
    <w:rsid w:val="000A508E"/>
    <w:rsid w:val="000A6755"/>
    <w:rsid w:val="000C3428"/>
    <w:rsid w:val="000F2F81"/>
    <w:rsid w:val="000F786D"/>
    <w:rsid w:val="00114125"/>
    <w:rsid w:val="0012587E"/>
    <w:rsid w:val="001307B0"/>
    <w:rsid w:val="001331FD"/>
    <w:rsid w:val="001471D5"/>
    <w:rsid w:val="0016019A"/>
    <w:rsid w:val="00176E1E"/>
    <w:rsid w:val="001B14FE"/>
    <w:rsid w:val="001B2133"/>
    <w:rsid w:val="001C73EE"/>
    <w:rsid w:val="001E119F"/>
    <w:rsid w:val="001E691D"/>
    <w:rsid w:val="00216C98"/>
    <w:rsid w:val="00220C9B"/>
    <w:rsid w:val="0022349B"/>
    <w:rsid w:val="002345AA"/>
    <w:rsid w:val="00237D0B"/>
    <w:rsid w:val="00250E5B"/>
    <w:rsid w:val="002615E3"/>
    <w:rsid w:val="002B047F"/>
    <w:rsid w:val="00303E0B"/>
    <w:rsid w:val="003230E1"/>
    <w:rsid w:val="00323D55"/>
    <w:rsid w:val="0032585D"/>
    <w:rsid w:val="00336011"/>
    <w:rsid w:val="00343EF4"/>
    <w:rsid w:val="0035208A"/>
    <w:rsid w:val="00380647"/>
    <w:rsid w:val="00384A18"/>
    <w:rsid w:val="00386757"/>
    <w:rsid w:val="003B1EB2"/>
    <w:rsid w:val="003B3155"/>
    <w:rsid w:val="003B78D6"/>
    <w:rsid w:val="003C0043"/>
    <w:rsid w:val="003F0B27"/>
    <w:rsid w:val="003F1CF2"/>
    <w:rsid w:val="003F2B9B"/>
    <w:rsid w:val="00417D66"/>
    <w:rsid w:val="00424732"/>
    <w:rsid w:val="00452ABB"/>
    <w:rsid w:val="004B23AF"/>
    <w:rsid w:val="004B6418"/>
    <w:rsid w:val="004C3667"/>
    <w:rsid w:val="004F0001"/>
    <w:rsid w:val="0052519D"/>
    <w:rsid w:val="00555E1B"/>
    <w:rsid w:val="00566B29"/>
    <w:rsid w:val="005679DE"/>
    <w:rsid w:val="00591067"/>
    <w:rsid w:val="005B3704"/>
    <w:rsid w:val="005F1D70"/>
    <w:rsid w:val="006020E5"/>
    <w:rsid w:val="00627E26"/>
    <w:rsid w:val="00647EDE"/>
    <w:rsid w:val="00674E2F"/>
    <w:rsid w:val="00682133"/>
    <w:rsid w:val="0068773D"/>
    <w:rsid w:val="00690EB6"/>
    <w:rsid w:val="006A3D89"/>
    <w:rsid w:val="006C4A17"/>
    <w:rsid w:val="006F5AD6"/>
    <w:rsid w:val="00702BE7"/>
    <w:rsid w:val="00705222"/>
    <w:rsid w:val="00760A48"/>
    <w:rsid w:val="007616FB"/>
    <w:rsid w:val="00764763"/>
    <w:rsid w:val="00782A60"/>
    <w:rsid w:val="0079594A"/>
    <w:rsid w:val="007A1FFE"/>
    <w:rsid w:val="007A324D"/>
    <w:rsid w:val="007A375B"/>
    <w:rsid w:val="007A6ED7"/>
    <w:rsid w:val="007C19AE"/>
    <w:rsid w:val="007D2753"/>
    <w:rsid w:val="00813FF2"/>
    <w:rsid w:val="00874027"/>
    <w:rsid w:val="00881543"/>
    <w:rsid w:val="008830DB"/>
    <w:rsid w:val="00914AD2"/>
    <w:rsid w:val="00927B79"/>
    <w:rsid w:val="00954EDD"/>
    <w:rsid w:val="009724E4"/>
    <w:rsid w:val="009813D3"/>
    <w:rsid w:val="0098552E"/>
    <w:rsid w:val="009A2117"/>
    <w:rsid w:val="009A61DC"/>
    <w:rsid w:val="009B0C15"/>
    <w:rsid w:val="009C4591"/>
    <w:rsid w:val="009D6E73"/>
    <w:rsid w:val="009E1D1D"/>
    <w:rsid w:val="00A075CB"/>
    <w:rsid w:val="00A67D99"/>
    <w:rsid w:val="00A84C3F"/>
    <w:rsid w:val="00A95773"/>
    <w:rsid w:val="00AA335C"/>
    <w:rsid w:val="00AD106C"/>
    <w:rsid w:val="00AD4670"/>
    <w:rsid w:val="00AF2AF7"/>
    <w:rsid w:val="00B04246"/>
    <w:rsid w:val="00B20ACA"/>
    <w:rsid w:val="00B30245"/>
    <w:rsid w:val="00B4298F"/>
    <w:rsid w:val="00B42E4D"/>
    <w:rsid w:val="00B50BAC"/>
    <w:rsid w:val="00B565D1"/>
    <w:rsid w:val="00B62994"/>
    <w:rsid w:val="00B66CE4"/>
    <w:rsid w:val="00B97DE8"/>
    <w:rsid w:val="00BA161C"/>
    <w:rsid w:val="00BA686B"/>
    <w:rsid w:val="00BB5AF1"/>
    <w:rsid w:val="00BB7135"/>
    <w:rsid w:val="00BC2F2B"/>
    <w:rsid w:val="00BD4FBC"/>
    <w:rsid w:val="00BE60B9"/>
    <w:rsid w:val="00C27059"/>
    <w:rsid w:val="00C37B47"/>
    <w:rsid w:val="00C426C3"/>
    <w:rsid w:val="00C5417B"/>
    <w:rsid w:val="00C60ECB"/>
    <w:rsid w:val="00CA3875"/>
    <w:rsid w:val="00CD1571"/>
    <w:rsid w:val="00CE1296"/>
    <w:rsid w:val="00D017C7"/>
    <w:rsid w:val="00D251A6"/>
    <w:rsid w:val="00D37E21"/>
    <w:rsid w:val="00D666C3"/>
    <w:rsid w:val="00D84CA7"/>
    <w:rsid w:val="00D925A9"/>
    <w:rsid w:val="00D97DF9"/>
    <w:rsid w:val="00DA4692"/>
    <w:rsid w:val="00DC5AA4"/>
    <w:rsid w:val="00DD4A68"/>
    <w:rsid w:val="00DF19AE"/>
    <w:rsid w:val="00DF3905"/>
    <w:rsid w:val="00DF3BF0"/>
    <w:rsid w:val="00E02F96"/>
    <w:rsid w:val="00E0749A"/>
    <w:rsid w:val="00E12941"/>
    <w:rsid w:val="00E5519B"/>
    <w:rsid w:val="00E5771B"/>
    <w:rsid w:val="00E6386F"/>
    <w:rsid w:val="00E80CF2"/>
    <w:rsid w:val="00EA0F92"/>
    <w:rsid w:val="00EA2182"/>
    <w:rsid w:val="00EB10FA"/>
    <w:rsid w:val="00EB5DEF"/>
    <w:rsid w:val="00ED6B8C"/>
    <w:rsid w:val="00EE230D"/>
    <w:rsid w:val="00EF5516"/>
    <w:rsid w:val="00EF6D1E"/>
    <w:rsid w:val="00F03A2A"/>
    <w:rsid w:val="00F1603F"/>
    <w:rsid w:val="00F31050"/>
    <w:rsid w:val="00F41F0B"/>
    <w:rsid w:val="00F75638"/>
    <w:rsid w:val="00F777EA"/>
    <w:rsid w:val="00FB0349"/>
    <w:rsid w:val="00FC3317"/>
    <w:rsid w:val="00FC34A1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D4B3E-BA0E-40F4-8C4C-211A9CF94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2024-04-30T12:34:00Z</cp:lastPrinted>
  <dcterms:created xsi:type="dcterms:W3CDTF">2024-09-17T09:44:00Z</dcterms:created>
  <dcterms:modified xsi:type="dcterms:W3CDTF">2024-09-17T10:36:00Z</dcterms:modified>
</cp:coreProperties>
</file>