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F2" w:rsidRDefault="00C01EF2" w:rsidP="00C01EF2">
      <w:pPr>
        <w:numPr>
          <w:ilvl w:val="0"/>
          <w:numId w:val="1"/>
        </w:numPr>
        <w:rPr>
          <w:rFonts w:hint="eastAsia"/>
          <w:b/>
          <w:bCs/>
        </w:rPr>
      </w:pPr>
      <w:proofErr w:type="spellStart"/>
      <w:r>
        <w:rPr>
          <w:b/>
          <w:bCs/>
        </w:rPr>
        <w:t>Професійна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адаптація</w:t>
      </w:r>
      <w:proofErr w:type="spellEnd"/>
    </w:p>
    <w:p w:rsidR="00C01EF2" w:rsidRDefault="00C01EF2" w:rsidP="00C01EF2">
      <w:pPr>
        <w:rPr>
          <w:rFonts w:hint="eastAsia"/>
          <w:b/>
          <w:bCs/>
        </w:rPr>
      </w:pPr>
    </w:p>
    <w:p w:rsidR="00C01EF2" w:rsidRPr="00F45CCC" w:rsidRDefault="00C01EF2" w:rsidP="00C01EF2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Професійна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адаптація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– заходи,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спрямовані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на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відновлення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та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вдосконалення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професійних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навичок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і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умінь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шляхом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професійного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навчання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надання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інформаційних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консультаційних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та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профорієнтаційних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послуг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із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зазначених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питань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підвищення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їх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конкурентоспроможності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F45CCC">
        <w:rPr>
          <w:rFonts w:ascii="Times New Roman" w:hAnsi="Times New Roman" w:cs="Times New Roman"/>
          <w:bCs/>
          <w:color w:val="000000"/>
        </w:rPr>
        <w:t>на ринку</w:t>
      </w:r>
      <w:proofErr w:type="gram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праці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>.</w:t>
      </w:r>
      <w:r w:rsidRPr="00F45CCC">
        <w:rPr>
          <w:rFonts w:ascii="Times New Roman" w:hAnsi="Times New Roman" w:cs="Times New Roman"/>
          <w:bCs/>
          <w:color w:val="000000"/>
        </w:rPr>
        <w:tab/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Здійснюється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щодо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осіб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які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звільняються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або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звільнені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з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військової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служби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з числа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ветеранів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війни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осіб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які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мають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особливі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заслуги перед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Батьківщиною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членів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сімей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таких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осіб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членів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сімей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загиблих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померлих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)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ветеранів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війни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членів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сімей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загиблих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померлих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)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Захисників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та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Захисниць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України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та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постраждалих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учасників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Революції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45CCC">
        <w:rPr>
          <w:rFonts w:ascii="Times New Roman" w:hAnsi="Times New Roman" w:cs="Times New Roman"/>
          <w:bCs/>
          <w:color w:val="000000"/>
        </w:rPr>
        <w:t>Гідності</w:t>
      </w:r>
      <w:proofErr w:type="spellEnd"/>
      <w:r w:rsidRPr="00F45CCC">
        <w:rPr>
          <w:rFonts w:ascii="Times New Roman" w:hAnsi="Times New Roman" w:cs="Times New Roman"/>
          <w:bCs/>
          <w:color w:val="000000"/>
        </w:rPr>
        <w:t>.</w:t>
      </w:r>
    </w:p>
    <w:p w:rsidR="00C01EF2" w:rsidRDefault="00C01EF2" w:rsidP="00C01EF2">
      <w:pPr>
        <w:pStyle w:val="a6"/>
        <w:shd w:val="clear" w:color="auto" w:fill="FFFFFF"/>
        <w:spacing w:before="240" w:beforeAutospacing="0" w:after="240" w:afterAutospacing="0"/>
        <w:ind w:firstLine="709"/>
        <w:rPr>
          <w:color w:val="000000"/>
        </w:rPr>
      </w:pPr>
      <w:r w:rsidRPr="00F45CCC">
        <w:rPr>
          <w:color w:val="000000"/>
        </w:rPr>
        <w:t>Професійна адаптація організовується і здійснюється за рахунок коштів державного бюджету суб’єктами освітньої діяльності, що мають право в установленому законодавством порядку на здійснення адаптації.</w:t>
      </w:r>
      <w:r>
        <w:rPr>
          <w:color w:val="000000"/>
        </w:rPr>
        <w:br/>
      </w:r>
    </w:p>
    <w:tbl>
      <w:tblPr>
        <w:tblW w:w="10819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69"/>
        <w:gridCol w:w="4252"/>
        <w:gridCol w:w="1991"/>
        <w:gridCol w:w="1707"/>
      </w:tblGrid>
      <w:tr w:rsidR="00C01EF2" w:rsidTr="00EC3C58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F2" w:rsidRDefault="00C01EF2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C01EF2" w:rsidTr="00EC3C58">
        <w:tc>
          <w:tcPr>
            <w:tcW w:w="2869" w:type="dxa"/>
            <w:tcBorders>
              <w:left w:val="single" w:sz="4" w:space="0" w:color="000000"/>
              <w:bottom w:val="single" w:sz="4" w:space="0" w:color="000000"/>
            </w:tcBorders>
          </w:tcPr>
          <w:p w:rsidR="00C01EF2" w:rsidRPr="00F45CCC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color w:val="202124"/>
              </w:rPr>
            </w:pPr>
            <w:r w:rsidRPr="00F45CCC">
              <w:rPr>
                <w:rFonts w:ascii="Times New Roman" w:hAnsi="Times New Roman"/>
                <w:color w:val="202124"/>
              </w:rPr>
              <w:t xml:space="preserve">-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підготовка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перепідготовка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підвищення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кваліфікації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 за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робітничою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202124"/>
              </w:rPr>
              <w:t>професією</w:t>
            </w:r>
            <w:proofErr w:type="spellEnd"/>
            <w:r w:rsidRPr="00F45CCC">
              <w:rPr>
                <w:rFonts w:ascii="Times New Roman" w:hAnsi="Times New Roman"/>
                <w:color w:val="202124"/>
              </w:rPr>
              <w:t xml:space="preserve">;                 </w:t>
            </w:r>
          </w:p>
          <w:p w:rsidR="00C01EF2" w:rsidRPr="00F45CCC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202124"/>
              </w:rPr>
              <w:t xml:space="preserve">-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отримання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іншої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спеціальності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основі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здобутого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раніше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ступеня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підвищення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кваліфікації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проходження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спеціалізації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у тому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числі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із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скороченим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строком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C01EF2" w:rsidRPr="00F45CCC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   -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отримання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другого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магістерського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вищої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основі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першого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бакалаврського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вищої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C01EF2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проходження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спеціалізації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підвищення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кваліфікації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професіями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і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спеціальностями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згідно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пріоритетними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видами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економічної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діяльності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в тому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числі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на </w:t>
            </w:r>
            <w:r w:rsidRPr="00F45CCC">
              <w:rPr>
                <w:rFonts w:ascii="Times New Roman" w:hAnsi="Times New Roman"/>
                <w:color w:val="000000"/>
              </w:rPr>
              <w:lastRenderedPageBreak/>
              <w:t xml:space="preserve">курсах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цільового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призначення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.</w:t>
            </w:r>
          </w:p>
          <w:p w:rsidR="00C01EF2" w:rsidRPr="00F45CCC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01EF2" w:rsidRPr="00F45CCC" w:rsidRDefault="00C01EF2" w:rsidP="00EC3C58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F45CCC">
              <w:rPr>
                <w:rFonts w:ascii="Times New Roman" w:hAnsi="Times New Roman"/>
                <w:color w:val="000000"/>
              </w:rPr>
              <w:lastRenderedPageBreak/>
              <w:t>Постанова К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МУ</w:t>
            </w:r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від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21.06.2017 № 432“Про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затвердження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Порядку та умов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забезпечення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соціальної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професійної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адаптації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звільняються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звільнені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військової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служби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з числа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мають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особливі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заслуги перед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Батьківщиною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таких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постраждалих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учасників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Революції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Гідності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”.</w:t>
            </w:r>
          </w:p>
          <w:p w:rsidR="00C01EF2" w:rsidRPr="00F45CCC" w:rsidRDefault="00C01EF2" w:rsidP="00EC3C58">
            <w:pPr>
              <w:pStyle w:val="a3"/>
              <w:widowControl w:val="0"/>
              <w:spacing w:after="45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Постанова 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КМУ</w:t>
            </w:r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від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31.03.2015 № 179 “Про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затвердження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Порядку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використання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коштів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передбачених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у державному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бюджеті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здійснення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заходів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із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соціальної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професійної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адаптації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мають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особливі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заслуги перед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Батьківщиною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таких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членів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постраждалих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учасників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lastRenderedPageBreak/>
              <w:t>Революції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Гідності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”</w:t>
            </w:r>
            <w:r w:rsidRPr="00F45CCC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</w:tcPr>
          <w:p w:rsidR="00C01EF2" w:rsidRPr="00F45CCC" w:rsidRDefault="00C01EF2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lang w:val="uk-UA"/>
              </w:rPr>
            </w:pPr>
            <w:r w:rsidRPr="00F45CCC">
              <w:rPr>
                <w:rFonts w:ascii="Times New Roman" w:hAnsi="Times New Roman"/>
                <w:color w:val="000000"/>
                <w:lang w:val="uk-UA"/>
              </w:rPr>
              <w:lastRenderedPageBreak/>
              <w:t>- особи, які звільняються або звільнені з військової служби з числа ветеранів війни;</w:t>
            </w:r>
          </w:p>
          <w:p w:rsidR="00C01EF2" w:rsidRPr="00F45CCC" w:rsidRDefault="00C01EF2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особи,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мають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особливі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заслуги перед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Батьківщиною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C01EF2" w:rsidRPr="00F45CCC" w:rsidRDefault="00C01EF2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таких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C01EF2" w:rsidRPr="00F45CCC" w:rsidRDefault="00C01EF2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ветеранів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війни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;</w:t>
            </w:r>
          </w:p>
          <w:p w:rsidR="00C01EF2" w:rsidRPr="00F45CCC" w:rsidRDefault="00C01EF2" w:rsidP="00EC3C58">
            <w:pPr>
              <w:pStyle w:val="a3"/>
              <w:widowControl w:val="0"/>
              <w:spacing w:after="450"/>
              <w:rPr>
                <w:rFonts w:ascii="Times New Roman" w:hAnsi="Times New Roman"/>
              </w:rPr>
            </w:pPr>
            <w:r w:rsidRPr="00F45CCC"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загиблих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померлих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Захисниць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lastRenderedPageBreak/>
              <w:t>України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постраждалих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учасників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Революції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color w:val="000000"/>
              </w:rPr>
              <w:t>Гідності</w:t>
            </w:r>
            <w:proofErr w:type="spellEnd"/>
            <w:r w:rsidRPr="00F45CC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F2" w:rsidRPr="00F45CCC" w:rsidRDefault="00C01EF2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C01EF2" w:rsidRPr="00F45CCC" w:rsidRDefault="00C01EF2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1EF2" w:rsidRPr="00F45CCC" w:rsidRDefault="00C01EF2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45CCC"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. Шевченка,128, ТЦ </w:t>
            </w: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C01EF2" w:rsidRPr="00F45CCC" w:rsidRDefault="00C01EF2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CC"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 w:rsidRPr="00F45CC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01EF2" w:rsidRPr="00F45CCC" w:rsidRDefault="00C01EF2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01EF2" w:rsidRPr="00F45CCC" w:rsidRDefault="00C01EF2" w:rsidP="00EC3C58">
            <w:pPr>
              <w:pStyle w:val="a5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45CCC"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</w:tc>
      </w:tr>
    </w:tbl>
    <w:p w:rsidR="00F058D5" w:rsidRDefault="00F058D5">
      <w:bookmarkStart w:id="0" w:name="_GoBack"/>
      <w:bookmarkEnd w:id="0"/>
    </w:p>
    <w:sectPr w:rsidR="00F058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69B5"/>
    <w:multiLevelType w:val="multilevel"/>
    <w:tmpl w:val="2E3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53"/>
    <w:rsid w:val="00C01EF2"/>
    <w:rsid w:val="00D70453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9172-1BEC-4E80-ACFE-A9886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F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EF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01EF2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C01EF2"/>
    <w:rPr>
      <w:rFonts w:ascii="Liberation Mono" w:hAnsi="Liberation Mono" w:cs="Liberation Mono"/>
      <w:sz w:val="20"/>
      <w:szCs w:val="20"/>
    </w:rPr>
  </w:style>
  <w:style w:type="paragraph" w:styleId="a6">
    <w:name w:val="Normal (Web)"/>
    <w:basedOn w:val="a"/>
    <w:uiPriority w:val="99"/>
    <w:unhideWhenUsed/>
    <w:qFormat/>
    <w:rsid w:val="00C01EF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3</cp:revision>
  <dcterms:created xsi:type="dcterms:W3CDTF">2024-11-08T08:48:00Z</dcterms:created>
  <dcterms:modified xsi:type="dcterms:W3CDTF">2024-11-08T08:48:00Z</dcterms:modified>
</cp:coreProperties>
</file>