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34" w:rsidRDefault="00522334" w:rsidP="00522334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соціально-психологічна адаптація в закладах культури</w:t>
      </w:r>
    </w:p>
    <w:p w:rsidR="003C739C" w:rsidRDefault="003C739C" w:rsidP="003C739C">
      <w:pPr>
        <w:shd w:val="clear" w:color="auto" w:fill="FFFFFF"/>
        <w:suppressAutoHyphens w:val="0"/>
        <w:spacing w:before="300" w:after="450"/>
        <w:ind w:left="450" w:right="45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Відповідно до законодавства України та наказу Міністерства культури та інформаційної політики від 13.11.2020 року №2302 «Про реалізацію </w:t>
      </w:r>
      <w:r w:rsidRPr="003C739C">
        <w:rPr>
          <w:rFonts w:ascii="Times New Roman" w:hAnsi="Times New Roman"/>
          <w:lang w:val="uk-UA"/>
        </w:rPr>
        <w:t>Про реалізацію права на відвідування підприємств, установ та організацій, які належать до сфери управління Міністерства культури та інформаційної політики України, на пільгових умовах</w:t>
      </w:r>
      <w:r>
        <w:rPr>
          <w:rFonts w:ascii="Times New Roman" w:hAnsi="Times New Roman"/>
          <w:lang w:val="uk-UA"/>
        </w:rPr>
        <w:t>» ветерани війни мають право на пільги</w:t>
      </w:r>
    </w:p>
    <w:p w:rsidR="00522334" w:rsidRPr="00522334" w:rsidRDefault="00522334" w:rsidP="001312B2">
      <w:pPr>
        <w:pStyle w:val="a5"/>
        <w:spacing w:after="0" w:line="240" w:lineRule="auto"/>
        <w:ind w:left="0" w:firstLine="450"/>
        <w:jc w:val="both"/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>Заклади культури</w:t>
      </w:r>
      <w:r w:rsidR="001312B2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 xml:space="preserve"> </w:t>
      </w:r>
      <w:r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>м</w:t>
      </w:r>
      <w:r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>.</w:t>
      </w:r>
      <w:r w:rsidR="001312B2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 xml:space="preserve"> </w:t>
      </w:r>
      <w:r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>Павлограда</w:t>
      </w:r>
      <w:r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 xml:space="preserve"> сприяють соціально-психологічній адаптації ветеранів та членів їх родин, надаючи безоплатні послуги з психоемоційного розвантаження, налагодження процесів соціалізації та подолання негативних наслідків війни, а також великий спектр інформаційних </w:t>
      </w:r>
      <w:proofErr w:type="spellStart"/>
      <w:r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>онлайн</w:t>
      </w:r>
      <w:proofErr w:type="spellEnd"/>
      <w:r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 xml:space="preserve"> та </w:t>
      </w:r>
      <w:proofErr w:type="spellStart"/>
      <w:r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>оффлайн</w:t>
      </w:r>
      <w:proofErr w:type="spellEnd"/>
      <w:r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 xml:space="preserve"> послуг.</w:t>
      </w:r>
    </w:p>
    <w:p w:rsidR="00522334" w:rsidRDefault="001312B2" w:rsidP="001312B2">
      <w:pPr>
        <w:pStyle w:val="a5"/>
        <w:spacing w:after="0" w:line="240" w:lineRule="auto"/>
        <w:ind w:left="0"/>
        <w:jc w:val="both"/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 xml:space="preserve">      У</w:t>
      </w:r>
      <w:r w:rsidR="00CF0008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 xml:space="preserve"> бібліотеках можна</w:t>
      </w:r>
      <w:r w:rsidR="00522334"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 xml:space="preserve"> отримати доступ до матеріалів про психічне здоров’я,</w:t>
      </w:r>
      <w:r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 xml:space="preserve"> </w:t>
      </w:r>
      <w:r w:rsidR="00522334"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>знайти контакти служб психологіч</w:t>
      </w:r>
      <w:bookmarkStart w:id="0" w:name="_GoBack"/>
      <w:bookmarkEnd w:id="0"/>
      <w:r w:rsidR="00522334"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>ної допомоги, поради щодо подолання стресу, підтримки сімей, що втратили рідних, та інших актуальних тем.</w:t>
      </w:r>
      <w:r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 xml:space="preserve"> У</w:t>
      </w:r>
      <w:r w:rsidR="007A22F9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 xml:space="preserve"> музеї, бібліотеках та МКДЦ</w:t>
      </w:r>
      <w:r w:rsidR="00FF2886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 xml:space="preserve"> можна покращи</w:t>
      </w:r>
      <w:r w:rsidR="00522334"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>ти св</w:t>
      </w:r>
      <w:r w:rsidR="00FF2886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>о</w:t>
      </w:r>
      <w:r w:rsidR="00522334"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 xml:space="preserve">є ментальне здоров’я за допомогою </w:t>
      </w:r>
      <w:proofErr w:type="spellStart"/>
      <w:r w:rsidR="00522334"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>бібліо</w:t>
      </w:r>
      <w:r w:rsidR="00FF2886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>-</w:t>
      </w:r>
      <w:r w:rsidR="00522334"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>терапевтичних</w:t>
      </w:r>
      <w:proofErr w:type="spellEnd"/>
      <w:r w:rsidR="00522334"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 xml:space="preserve"> та </w:t>
      </w:r>
      <w:proofErr w:type="spellStart"/>
      <w:r w:rsidR="00522334"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>арт-терапевтични</w:t>
      </w:r>
      <w:r w:rsidR="00FF2886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>х</w:t>
      </w:r>
      <w:proofErr w:type="spellEnd"/>
      <w:r w:rsidR="00522334"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 xml:space="preserve"> засобів, відвідати літературно-музичні події, кіносеанси,тренінги, майстер-класи з </w:t>
      </w:r>
      <w:proofErr w:type="spellStart"/>
      <w:r w:rsidR="00522334"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>хенд-мейд</w:t>
      </w:r>
      <w:proofErr w:type="spellEnd"/>
      <w:r w:rsidR="00522334" w:rsidRPr="00522334">
        <w:rPr>
          <w:rFonts w:ascii="Times New Roman" w:eastAsia="NSimSun" w:hAnsi="Times New Roman" w:cs="Mangal"/>
          <w:kern w:val="2"/>
          <w:sz w:val="24"/>
          <w:szCs w:val="24"/>
          <w:lang w:val="uk-UA" w:eastAsia="zh-CN" w:bidi="hi-IN"/>
        </w:rPr>
        <w:t xml:space="preserve"> та сімейні ігротеки.</w:t>
      </w:r>
    </w:p>
    <w:p w:rsidR="00CF0008" w:rsidRDefault="00CF0008" w:rsidP="00CF0008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lang w:val="uk-UA"/>
        </w:rPr>
      </w:pPr>
    </w:p>
    <w:tbl>
      <w:tblPr>
        <w:tblW w:w="984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78"/>
        <w:gridCol w:w="3827"/>
        <w:gridCol w:w="2489"/>
        <w:gridCol w:w="2047"/>
      </w:tblGrid>
      <w:tr w:rsidR="00AE1725" w:rsidRPr="00FD580E" w:rsidTr="00B8718B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725" w:rsidRPr="00FD580E" w:rsidRDefault="00AE1725" w:rsidP="00AE1725">
            <w:pPr>
              <w:widowControl w:val="0"/>
              <w:jc w:val="center"/>
              <w:rPr>
                <w:rFonts w:ascii="Times New Roman" w:hAnsi="Times New Roman" w:cs="Liberation Mono"/>
                <w:b/>
                <w:bCs/>
                <w:lang w:val="uk-UA"/>
              </w:rPr>
            </w:pPr>
            <w:bookmarkStart w:id="1" w:name="n3"/>
            <w:bookmarkEnd w:id="1"/>
            <w:r w:rsidRPr="00FD580E">
              <w:rPr>
                <w:rFonts w:ascii="Times New Roman" w:hAnsi="Times New Roman" w:cs="Liberation Mono"/>
                <w:b/>
                <w:bCs/>
                <w:lang w:val="uk-UA"/>
              </w:rPr>
              <w:t>Зміст пільги</w:t>
            </w:r>
          </w:p>
          <w:p w:rsidR="00AE1725" w:rsidRPr="00FD580E" w:rsidRDefault="00AE1725" w:rsidP="00AE1725">
            <w:pPr>
              <w:widowControl w:val="0"/>
              <w:jc w:val="center"/>
              <w:rPr>
                <w:rFonts w:ascii="Times New Roman" w:hAnsi="Times New Roman" w:cs="Liberation Mono"/>
                <w:b/>
                <w:bCs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725" w:rsidRPr="00FD580E" w:rsidRDefault="00AE1725" w:rsidP="00AE1725">
            <w:pPr>
              <w:widowControl w:val="0"/>
              <w:jc w:val="center"/>
              <w:rPr>
                <w:rFonts w:ascii="Times New Roman" w:hAnsi="Times New Roman" w:cs="Liberation Mono"/>
                <w:b/>
                <w:bCs/>
                <w:lang w:val="uk-UA"/>
              </w:rPr>
            </w:pPr>
            <w:r w:rsidRPr="00FD580E">
              <w:rPr>
                <w:rFonts w:ascii="Times New Roman" w:hAnsi="Times New Roman" w:cs="Liberation Mono"/>
                <w:b/>
                <w:bCs/>
                <w:lang w:val="uk-UA"/>
              </w:rPr>
              <w:t>Чим регламентується</w:t>
            </w:r>
          </w:p>
          <w:p w:rsidR="00AE1725" w:rsidRPr="00FD580E" w:rsidRDefault="00AE1725" w:rsidP="00AE1725">
            <w:pPr>
              <w:widowControl w:val="0"/>
              <w:jc w:val="center"/>
              <w:rPr>
                <w:rFonts w:ascii="Times New Roman" w:hAnsi="Times New Roman" w:cs="Liberation Mono"/>
                <w:b/>
                <w:bCs/>
                <w:lang w:val="uk-U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725" w:rsidRPr="00FD580E" w:rsidRDefault="00AE1725" w:rsidP="00AE1725">
            <w:pPr>
              <w:widowControl w:val="0"/>
              <w:jc w:val="center"/>
              <w:rPr>
                <w:rFonts w:ascii="Times New Roman" w:hAnsi="Times New Roman" w:cs="Liberation Mono"/>
                <w:b/>
                <w:bCs/>
                <w:lang w:val="uk-UA"/>
              </w:rPr>
            </w:pPr>
            <w:r w:rsidRPr="00FD580E">
              <w:rPr>
                <w:rFonts w:ascii="Times New Roman" w:hAnsi="Times New Roman" w:cs="Liberation Mono"/>
                <w:b/>
                <w:bCs/>
                <w:lang w:val="uk-UA"/>
              </w:rPr>
              <w:t>Хто має право</w:t>
            </w:r>
          </w:p>
          <w:p w:rsidR="00AE1725" w:rsidRPr="00FD580E" w:rsidRDefault="00AE1725" w:rsidP="00AE1725">
            <w:pPr>
              <w:widowControl w:val="0"/>
              <w:jc w:val="center"/>
              <w:rPr>
                <w:rFonts w:ascii="Times New Roman" w:hAnsi="Times New Roman" w:cs="Liberation Mono"/>
                <w:b/>
                <w:bCs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25" w:rsidRPr="00FD580E" w:rsidRDefault="00AE1725" w:rsidP="00AE1725">
            <w:pPr>
              <w:widowControl w:val="0"/>
              <w:jc w:val="center"/>
              <w:rPr>
                <w:rFonts w:ascii="Times New Roman" w:hAnsi="Times New Roman" w:cs="Liberation Mono"/>
                <w:b/>
                <w:bCs/>
                <w:lang w:val="uk-UA"/>
              </w:rPr>
            </w:pPr>
            <w:r w:rsidRPr="00FD580E">
              <w:rPr>
                <w:rFonts w:ascii="Times New Roman" w:hAnsi="Times New Roman" w:cs="Liberation Mono"/>
                <w:b/>
                <w:bCs/>
                <w:lang w:val="uk-UA"/>
              </w:rPr>
              <w:t>Куди звертатись</w:t>
            </w:r>
          </w:p>
        </w:tc>
      </w:tr>
      <w:tr w:rsidR="00AE1725" w:rsidRPr="00FD580E" w:rsidTr="00E41F9C">
        <w:trPr>
          <w:trHeight w:val="2213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</w:tcPr>
          <w:p w:rsidR="00AE1725" w:rsidRPr="00FD580E" w:rsidRDefault="007A22F9" w:rsidP="00B41289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>
              <w:rPr>
                <w:rFonts w:ascii="Times New Roman" w:hAnsi="Times New Roman" w:cs="Liberation Mono"/>
                <w:lang w:val="uk-UA"/>
              </w:rPr>
              <w:t>Безоплатні послуги з психоемоційного розвантаження</w:t>
            </w:r>
          </w:p>
          <w:p w:rsidR="00AE1725" w:rsidRPr="00FD580E" w:rsidRDefault="00AE1725" w:rsidP="00B41289">
            <w:pPr>
              <w:widowControl w:val="0"/>
              <w:jc w:val="both"/>
              <w:rPr>
                <w:rFonts w:ascii="Times New Roman" w:hAnsi="Times New Roman" w:cs="Liberation Mono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615FF" w:rsidRPr="00FD580E" w:rsidRDefault="009615FF" w:rsidP="009615FF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580E">
              <w:rPr>
                <w:rFonts w:ascii="Times New Roman" w:hAnsi="Times New Roman"/>
                <w:sz w:val="24"/>
                <w:szCs w:val="24"/>
                <w:lang w:val="uk-UA"/>
              </w:rPr>
              <w:t>Закону України “Про статус ветеранів війни, гарантії їх соціального захисту”;</w:t>
            </w:r>
          </w:p>
          <w:p w:rsidR="00CA39F5" w:rsidRPr="00FD580E" w:rsidRDefault="00CA39F5" w:rsidP="00AE1725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</w:p>
          <w:p w:rsidR="00AE1725" w:rsidRPr="00FD580E" w:rsidRDefault="00AE1725" w:rsidP="00AE1725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FD580E">
              <w:rPr>
                <w:rFonts w:ascii="Times New Roman" w:hAnsi="Times New Roman"/>
                <w:lang w:val="uk-UA"/>
              </w:rPr>
              <w:t xml:space="preserve">Закон України «Про </w:t>
            </w:r>
            <w:r w:rsidR="00F15E35" w:rsidRPr="00FD580E">
              <w:rPr>
                <w:rFonts w:ascii="Times New Roman" w:hAnsi="Times New Roman"/>
                <w:lang w:val="uk-UA"/>
              </w:rPr>
              <w:t>культуру</w:t>
            </w:r>
            <w:r w:rsidR="00CA39F5" w:rsidRPr="00FD580E">
              <w:rPr>
                <w:rFonts w:ascii="Times New Roman" w:hAnsi="Times New Roman"/>
                <w:lang w:val="uk-UA"/>
              </w:rPr>
              <w:t>»;</w:t>
            </w:r>
          </w:p>
          <w:p w:rsidR="00AE1725" w:rsidRPr="00FD580E" w:rsidRDefault="00AE1725" w:rsidP="00AE1725">
            <w:pPr>
              <w:widowControl w:val="0"/>
              <w:rPr>
                <w:rFonts w:ascii="Times New Roman" w:hAnsi="Times New Roman"/>
                <w:lang w:val="uk-UA"/>
              </w:rPr>
            </w:pPr>
          </w:p>
          <w:p w:rsidR="00F15E35" w:rsidRDefault="00F15E35" w:rsidP="00F15E35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FD580E">
              <w:rPr>
                <w:rFonts w:ascii="Times New Roman" w:hAnsi="Times New Roman"/>
                <w:lang w:val="uk-UA"/>
              </w:rPr>
              <w:t>Закон України «Про музеї та музейну справу »;</w:t>
            </w:r>
          </w:p>
          <w:p w:rsidR="00E41F9C" w:rsidRDefault="00E41F9C" w:rsidP="00F15E35">
            <w:pPr>
              <w:widowControl w:val="0"/>
              <w:rPr>
                <w:rFonts w:ascii="Times New Roman" w:hAnsi="Times New Roman"/>
                <w:lang w:val="uk-UA"/>
              </w:rPr>
            </w:pPr>
          </w:p>
          <w:p w:rsidR="00E41F9C" w:rsidRPr="00FD580E" w:rsidRDefault="00E41F9C" w:rsidP="00F15E35">
            <w:pPr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Закон України «Про бібліотеки та бібліотечні справи»</w:t>
            </w:r>
          </w:p>
          <w:p w:rsidR="00AE1725" w:rsidRPr="00FD580E" w:rsidRDefault="00AE1725" w:rsidP="00A00CA3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F31191" w:rsidRDefault="00F31191" w:rsidP="00A00CA3">
            <w:pPr>
              <w:jc w:val="both"/>
              <w:rPr>
                <w:rFonts w:ascii="Times New Roman" w:hAnsi="Times New Roman"/>
                <w:lang w:val="uk-UA"/>
              </w:rPr>
            </w:pPr>
            <w:r w:rsidRPr="00FD580E">
              <w:rPr>
                <w:rFonts w:ascii="Times New Roman" w:hAnsi="Times New Roman"/>
                <w:lang w:val="uk-UA"/>
              </w:rPr>
              <w:t>Постанова КМУ від 29.01.2003 № 117 “Про Реєстр осі</w:t>
            </w:r>
            <w:r w:rsidR="003C739C">
              <w:rPr>
                <w:rFonts w:ascii="Times New Roman" w:hAnsi="Times New Roman"/>
                <w:lang w:val="uk-UA"/>
              </w:rPr>
              <w:t>б, які мають право на пільги”;</w:t>
            </w:r>
          </w:p>
          <w:p w:rsidR="003C739C" w:rsidRDefault="003C739C" w:rsidP="00A00CA3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3C739C" w:rsidRPr="00FD580E" w:rsidRDefault="003C739C" w:rsidP="003C739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Наказ Міністерства культури та інформаційної політики від 13.11.2020 року №2302 «Про реалізацію </w:t>
            </w:r>
            <w:r w:rsidRPr="003C739C">
              <w:rPr>
                <w:rFonts w:ascii="Times New Roman" w:hAnsi="Times New Roman"/>
                <w:lang w:val="uk-UA"/>
              </w:rPr>
              <w:t>Про реалізацію права на відвідування підприємств, установ та організацій, які належать до сфери управління Міністерства культури та інформаційної політики України, на пільгових умовах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</w:tcPr>
          <w:p w:rsidR="00F15E35" w:rsidRPr="00FD580E" w:rsidRDefault="00F15E35" w:rsidP="00F15E3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580E">
              <w:rPr>
                <w:rFonts w:ascii="Times New Roman" w:hAnsi="Times New Roman"/>
                <w:sz w:val="24"/>
                <w:szCs w:val="24"/>
                <w:lang w:val="uk-UA"/>
              </w:rPr>
              <w:t>Особи з інвалідністю внаслідок війни (100% пільга)</w:t>
            </w:r>
          </w:p>
          <w:p w:rsidR="00F15E35" w:rsidRPr="00FD580E" w:rsidRDefault="00F15E35" w:rsidP="00F15E3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580E">
              <w:rPr>
                <w:rFonts w:ascii="Times New Roman" w:hAnsi="Times New Roman"/>
                <w:sz w:val="24"/>
                <w:szCs w:val="24"/>
                <w:lang w:val="uk-UA"/>
              </w:rPr>
              <w:t>Учасники бойових дій (50% пільга)</w:t>
            </w:r>
          </w:p>
          <w:p w:rsidR="00F15E35" w:rsidRPr="00FD580E" w:rsidRDefault="00F15E35" w:rsidP="00F15E3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580E">
              <w:rPr>
                <w:rFonts w:ascii="Times New Roman" w:hAnsi="Times New Roman"/>
                <w:sz w:val="24"/>
                <w:szCs w:val="24"/>
                <w:lang w:val="uk-UA"/>
              </w:rPr>
              <w:t>Учасники війни (50% пільга)</w:t>
            </w:r>
          </w:p>
          <w:p w:rsidR="00F15E35" w:rsidRPr="00FD580E" w:rsidRDefault="00F15E35" w:rsidP="00F15E3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580E">
              <w:rPr>
                <w:rFonts w:ascii="Times New Roman" w:hAnsi="Times New Roman"/>
                <w:sz w:val="24"/>
                <w:szCs w:val="24"/>
                <w:lang w:val="uk-UA"/>
              </w:rPr>
              <w:t>Сім’ї загиблих (померлих) Захисників  та Захисниць України (100% пільга)</w:t>
            </w:r>
          </w:p>
          <w:p w:rsidR="00AE1725" w:rsidRPr="00FD580E" w:rsidRDefault="00F15E35" w:rsidP="00F15E35">
            <w:pPr>
              <w:rPr>
                <w:rFonts w:ascii="Times New Roman" w:hAnsi="Times New Roman"/>
                <w:lang w:val="uk-UA"/>
              </w:rPr>
            </w:pPr>
            <w:r w:rsidRPr="00FD580E">
              <w:rPr>
                <w:rFonts w:ascii="Times New Roman" w:hAnsi="Times New Roman"/>
                <w:lang w:val="uk-UA"/>
              </w:rPr>
              <w:t>Сім’ї загиблих (померлих) ветеранів війни (100 % пільга)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25" w:rsidRPr="00FD580E" w:rsidRDefault="00AE1725" w:rsidP="00B41289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 w:rsidRPr="00FD580E">
              <w:rPr>
                <w:rFonts w:ascii="Times New Roman" w:hAnsi="Times New Roman" w:cs="Liberation Mono"/>
                <w:lang w:val="uk-UA"/>
              </w:rPr>
              <w:t>Комунальний заклад  «Павлоградськ</w:t>
            </w:r>
            <w:r w:rsidR="00F15E35" w:rsidRPr="00FD580E">
              <w:rPr>
                <w:rFonts w:ascii="Times New Roman" w:hAnsi="Times New Roman" w:cs="Liberation Mono"/>
                <w:lang w:val="uk-UA"/>
              </w:rPr>
              <w:t>ий історико-краєзнавчий музей</w:t>
            </w:r>
            <w:r w:rsidRPr="00FD580E">
              <w:rPr>
                <w:rFonts w:ascii="Times New Roman" w:hAnsi="Times New Roman" w:cs="Liberation Mono"/>
                <w:lang w:val="uk-UA"/>
              </w:rPr>
              <w:t xml:space="preserve">» </w:t>
            </w:r>
          </w:p>
          <w:p w:rsidR="00AE1725" w:rsidRPr="00FD580E" w:rsidRDefault="00AE1725" w:rsidP="00B41289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 w:rsidRPr="00FD580E">
              <w:rPr>
                <w:rFonts w:ascii="Times New Roman" w:hAnsi="Times New Roman" w:cs="Liberation Mono"/>
                <w:lang w:val="uk-UA"/>
              </w:rPr>
              <w:t>Павлоградської міської ради</w:t>
            </w:r>
          </w:p>
          <w:p w:rsidR="00AE1725" w:rsidRPr="00FD580E" w:rsidRDefault="00AE1725" w:rsidP="00B41289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 w:rsidRPr="00FD580E">
              <w:rPr>
                <w:rFonts w:ascii="Times New Roman" w:hAnsi="Times New Roman" w:cs="Liberation Mono"/>
                <w:lang w:val="uk-UA"/>
              </w:rPr>
              <w:t xml:space="preserve">м. Павлоград, </w:t>
            </w:r>
            <w:r w:rsidR="00F15E35" w:rsidRPr="00FD580E">
              <w:rPr>
                <w:rFonts w:ascii="Times New Roman" w:hAnsi="Times New Roman" w:cs="Times New Roman"/>
                <w:bCs/>
                <w:lang w:val="uk-UA"/>
              </w:rPr>
              <w:t>пров. Музейний, 8</w:t>
            </w:r>
          </w:p>
          <w:p w:rsidR="00AE1725" w:rsidRDefault="00F15E35" w:rsidP="00B41289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 w:rsidRPr="00FD580E">
              <w:rPr>
                <w:rFonts w:ascii="Times New Roman" w:hAnsi="Times New Roman" w:cs="Liberation Mono"/>
                <w:lang w:val="uk-UA"/>
              </w:rPr>
              <w:t>т. 0506151633</w:t>
            </w:r>
          </w:p>
          <w:p w:rsidR="00B8718B" w:rsidRDefault="00B8718B" w:rsidP="00B41289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</w:p>
          <w:p w:rsidR="00B8718B" w:rsidRPr="00FD580E" w:rsidRDefault="00B8718B" w:rsidP="00B8718B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>
              <w:rPr>
                <w:rFonts w:ascii="Times New Roman" w:hAnsi="Times New Roman" w:cs="Liberation Mono"/>
                <w:lang w:val="uk-UA"/>
              </w:rPr>
              <w:t xml:space="preserve">Комунальна бюджетна установа «Міський культурно-дозвільницький центр» </w:t>
            </w:r>
            <w:r w:rsidRPr="00FD580E">
              <w:rPr>
                <w:rFonts w:ascii="Times New Roman" w:hAnsi="Times New Roman" w:cs="Liberation Mono"/>
                <w:lang w:val="uk-UA"/>
              </w:rPr>
              <w:t>Павлоградської міської ради</w:t>
            </w:r>
          </w:p>
          <w:p w:rsidR="00B8718B" w:rsidRPr="00FD580E" w:rsidRDefault="00B8718B" w:rsidP="00B8718B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 w:rsidRPr="00FD580E">
              <w:rPr>
                <w:rFonts w:ascii="Times New Roman" w:hAnsi="Times New Roman" w:cs="Liberation Mono"/>
                <w:lang w:val="uk-UA"/>
              </w:rPr>
              <w:t xml:space="preserve">м. Павлоград, </w:t>
            </w:r>
            <w:r>
              <w:rPr>
                <w:rFonts w:ascii="Times New Roman" w:hAnsi="Times New Roman" w:cs="Times New Roman"/>
                <w:bCs/>
                <w:lang w:val="uk-UA"/>
              </w:rPr>
              <w:t>вул.Центральна, 61</w:t>
            </w:r>
          </w:p>
          <w:p w:rsidR="00B8718B" w:rsidRDefault="00B8718B" w:rsidP="002303A3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 w:rsidRPr="00FD580E">
              <w:rPr>
                <w:rFonts w:ascii="Times New Roman" w:hAnsi="Times New Roman" w:cs="Liberation Mono"/>
                <w:lang w:val="uk-UA"/>
              </w:rPr>
              <w:t xml:space="preserve">т. </w:t>
            </w:r>
            <w:r w:rsidRPr="002303A3">
              <w:rPr>
                <w:rFonts w:ascii="Times New Roman" w:hAnsi="Times New Roman" w:cs="Liberation Mono"/>
                <w:lang w:val="uk-UA"/>
              </w:rPr>
              <w:t>050</w:t>
            </w:r>
            <w:r w:rsidR="002303A3" w:rsidRPr="002303A3">
              <w:rPr>
                <w:rFonts w:ascii="Times New Roman" w:hAnsi="Times New Roman" w:cs="Liberation Mono"/>
                <w:lang w:val="uk-UA"/>
              </w:rPr>
              <w:t>0761016</w:t>
            </w:r>
          </w:p>
          <w:p w:rsidR="00E41F9C" w:rsidRDefault="00E41F9C" w:rsidP="002303A3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</w:p>
          <w:p w:rsidR="00E41F9C" w:rsidRDefault="00E41F9C" w:rsidP="00E41F9C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 w:rsidRPr="00FD580E">
              <w:rPr>
                <w:rFonts w:ascii="Times New Roman" w:hAnsi="Times New Roman" w:cs="Liberation Mono"/>
                <w:lang w:val="uk-UA"/>
              </w:rPr>
              <w:t>Комунальний заклад  «Павлоградськ</w:t>
            </w:r>
            <w:r>
              <w:rPr>
                <w:rFonts w:ascii="Times New Roman" w:hAnsi="Times New Roman" w:cs="Liberation Mono"/>
                <w:lang w:val="uk-UA"/>
              </w:rPr>
              <w:t xml:space="preserve">а міська </w:t>
            </w:r>
            <w:r>
              <w:rPr>
                <w:rFonts w:ascii="Times New Roman" w:hAnsi="Times New Roman" w:cs="Liberation Mono"/>
                <w:lang w:val="uk-UA"/>
              </w:rPr>
              <w:lastRenderedPageBreak/>
              <w:t>централізована бібліотечна система»</w:t>
            </w:r>
          </w:p>
          <w:p w:rsidR="00E41F9C" w:rsidRDefault="00E41F9C" w:rsidP="00E41F9C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>
              <w:rPr>
                <w:rFonts w:ascii="Times New Roman" w:hAnsi="Times New Roman" w:cs="Liberation Mono"/>
                <w:lang w:val="uk-UA"/>
              </w:rPr>
              <w:t>м.Павлоград</w:t>
            </w:r>
          </w:p>
          <w:p w:rsidR="00E41F9C" w:rsidRDefault="00E41F9C" w:rsidP="00E41F9C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>
              <w:rPr>
                <w:rFonts w:ascii="Times New Roman" w:hAnsi="Times New Roman" w:cs="Liberation Mono"/>
                <w:lang w:val="uk-UA"/>
              </w:rPr>
              <w:t>вул. Центральна, 67</w:t>
            </w:r>
          </w:p>
          <w:p w:rsidR="00E41F9C" w:rsidRPr="00FD580E" w:rsidRDefault="00E41F9C" w:rsidP="00E41F9C">
            <w:pPr>
              <w:pStyle w:val="a5"/>
              <w:ind w:left="0"/>
              <w:rPr>
                <w:rFonts w:ascii="Times New Roman" w:eastAsia="NSimSun" w:hAnsi="Times New Roman" w:cs="Liberation Mon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 w:cs="Liberation Mono"/>
                <w:lang w:val="uk-UA"/>
              </w:rPr>
              <w:t>т.</w:t>
            </w:r>
            <w:r w:rsidRPr="00E41F9C">
              <w:rPr>
                <w:rFonts w:ascii="Times New Roman" w:eastAsia="NSimSun" w:hAnsi="Times New Roman" w:cs="Liberation Mono"/>
                <w:kern w:val="2"/>
                <w:sz w:val="24"/>
                <w:szCs w:val="24"/>
                <w:lang w:val="uk-UA" w:eastAsia="zh-CN" w:bidi="hi-IN"/>
              </w:rPr>
              <w:t>0666426240</w:t>
            </w:r>
          </w:p>
        </w:tc>
      </w:tr>
    </w:tbl>
    <w:p w:rsidR="00AE1725" w:rsidRPr="00FD580E" w:rsidRDefault="00AE1725" w:rsidP="00AE1725">
      <w:pPr>
        <w:rPr>
          <w:rFonts w:hint="eastAsia"/>
          <w:lang w:val="uk-UA"/>
        </w:rPr>
      </w:pPr>
    </w:p>
    <w:p w:rsidR="00AE1725" w:rsidRPr="00FD580E" w:rsidRDefault="00AE1725">
      <w:pPr>
        <w:rPr>
          <w:rFonts w:hint="eastAsia"/>
          <w:lang w:val="uk-UA"/>
        </w:rPr>
      </w:pPr>
    </w:p>
    <w:sectPr w:rsidR="00AE1725" w:rsidRPr="00FD580E" w:rsidSect="00E0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26DE"/>
    <w:multiLevelType w:val="multilevel"/>
    <w:tmpl w:val="7B9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C75"/>
    <w:rsid w:val="00125A66"/>
    <w:rsid w:val="001312B2"/>
    <w:rsid w:val="002303A3"/>
    <w:rsid w:val="00300B0D"/>
    <w:rsid w:val="00342FBE"/>
    <w:rsid w:val="003C739C"/>
    <w:rsid w:val="00424D0A"/>
    <w:rsid w:val="00522334"/>
    <w:rsid w:val="005D0E0F"/>
    <w:rsid w:val="007A22F9"/>
    <w:rsid w:val="009615FF"/>
    <w:rsid w:val="0098050A"/>
    <w:rsid w:val="009F4C75"/>
    <w:rsid w:val="00A00CA3"/>
    <w:rsid w:val="00AE1725"/>
    <w:rsid w:val="00B8718B"/>
    <w:rsid w:val="00BB3E6C"/>
    <w:rsid w:val="00C5130E"/>
    <w:rsid w:val="00CA39F5"/>
    <w:rsid w:val="00CF0008"/>
    <w:rsid w:val="00E00FC6"/>
    <w:rsid w:val="00E41F9C"/>
    <w:rsid w:val="00F15E35"/>
    <w:rsid w:val="00F31191"/>
    <w:rsid w:val="00FD580E"/>
    <w:rsid w:val="00FF2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25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E35"/>
    <w:rPr>
      <w:color w:val="0000FF" w:themeColor="hyperlink"/>
      <w:u w:val="single"/>
    </w:rPr>
  </w:style>
  <w:style w:type="paragraph" w:customStyle="1" w:styleId="a4">
    <w:name w:val="Текст в заданном формате"/>
    <w:basedOn w:val="a"/>
    <w:qFormat/>
    <w:rsid w:val="00F15E35"/>
    <w:rPr>
      <w:rFonts w:ascii="Liberation Mono" w:hAnsi="Liberation Mono" w:cs="Liberation Mono"/>
      <w:sz w:val="20"/>
      <w:szCs w:val="20"/>
    </w:rPr>
  </w:style>
  <w:style w:type="paragraph" w:customStyle="1" w:styleId="rvps1">
    <w:name w:val="rvps1"/>
    <w:basedOn w:val="a"/>
    <w:rsid w:val="003C739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rvts15">
    <w:name w:val="rvts15"/>
    <w:basedOn w:val="a0"/>
    <w:rsid w:val="003C739C"/>
  </w:style>
  <w:style w:type="paragraph" w:customStyle="1" w:styleId="rvps4">
    <w:name w:val="rvps4"/>
    <w:basedOn w:val="a"/>
    <w:rsid w:val="003C739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rvts23">
    <w:name w:val="rvts23"/>
    <w:basedOn w:val="a0"/>
    <w:rsid w:val="003C739C"/>
  </w:style>
  <w:style w:type="paragraph" w:customStyle="1" w:styleId="rvps7">
    <w:name w:val="rvps7"/>
    <w:basedOn w:val="a"/>
    <w:rsid w:val="003C739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rvts9">
    <w:name w:val="rvts9"/>
    <w:basedOn w:val="a0"/>
    <w:rsid w:val="003C739C"/>
  </w:style>
  <w:style w:type="paragraph" w:customStyle="1" w:styleId="rvps6">
    <w:name w:val="rvps6"/>
    <w:basedOn w:val="a"/>
    <w:rsid w:val="003C739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List Paragraph"/>
    <w:basedOn w:val="a"/>
    <w:uiPriority w:val="34"/>
    <w:qFormat/>
    <w:rsid w:val="00E41F9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25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E35"/>
    <w:rPr>
      <w:color w:val="0000FF" w:themeColor="hyperlink"/>
      <w:u w:val="single"/>
    </w:rPr>
  </w:style>
  <w:style w:type="paragraph" w:customStyle="1" w:styleId="a4">
    <w:name w:val="Текст в заданном формате"/>
    <w:basedOn w:val="a"/>
    <w:qFormat/>
    <w:rsid w:val="00F15E35"/>
    <w:rPr>
      <w:rFonts w:ascii="Liberation Mono" w:hAnsi="Liberation Mono" w:cs="Liberation Mono"/>
      <w:sz w:val="20"/>
      <w:szCs w:val="20"/>
    </w:rPr>
  </w:style>
  <w:style w:type="paragraph" w:customStyle="1" w:styleId="rvps1">
    <w:name w:val="rvps1"/>
    <w:basedOn w:val="a"/>
    <w:rsid w:val="003C739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rvts15">
    <w:name w:val="rvts15"/>
    <w:basedOn w:val="a0"/>
    <w:rsid w:val="003C739C"/>
  </w:style>
  <w:style w:type="paragraph" w:customStyle="1" w:styleId="rvps4">
    <w:name w:val="rvps4"/>
    <w:basedOn w:val="a"/>
    <w:rsid w:val="003C739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rvts23">
    <w:name w:val="rvts23"/>
    <w:basedOn w:val="a0"/>
    <w:rsid w:val="003C739C"/>
  </w:style>
  <w:style w:type="paragraph" w:customStyle="1" w:styleId="rvps7">
    <w:name w:val="rvps7"/>
    <w:basedOn w:val="a"/>
    <w:rsid w:val="003C739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rvts9">
    <w:name w:val="rvts9"/>
    <w:basedOn w:val="a0"/>
    <w:rsid w:val="003C739C"/>
  </w:style>
  <w:style w:type="paragraph" w:customStyle="1" w:styleId="rvps6">
    <w:name w:val="rvps6"/>
    <w:basedOn w:val="a"/>
    <w:rsid w:val="003C739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List Paragraph"/>
    <w:basedOn w:val="a"/>
    <w:uiPriority w:val="34"/>
    <w:qFormat/>
    <w:rsid w:val="00E41F9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7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2024-11-11T09:45:00Z</dcterms:created>
  <dcterms:modified xsi:type="dcterms:W3CDTF">2024-11-15T08:42:00Z</dcterms:modified>
</cp:coreProperties>
</file>