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D5" w:rsidRPr="00F876DD" w:rsidRDefault="00CF07D5" w:rsidP="00CF07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DD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</w:p>
    <w:p w:rsidR="00CF07D5" w:rsidRPr="00F876DD" w:rsidRDefault="00CF07D5" w:rsidP="00CF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регуляторного впливу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Pr="00F876DD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F87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CF07D5" w:rsidRPr="00F876DD" w:rsidRDefault="00CF07D5" w:rsidP="00CF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D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відновної вартості зелених насаджень, що підлягають видаленню в м. Павлограді»</w:t>
      </w:r>
    </w:p>
    <w:p w:rsidR="00CF07D5" w:rsidRPr="00F876DD" w:rsidRDefault="00CF07D5" w:rsidP="00CF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Аналіз регуляторного впливу проекту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>Павлоградської міської ради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відновної вартості зелених насаджень, що підлягають видаленню в м. Павлограді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>» підготовлено відповідно до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>», «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рослинний світ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>»,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благоустрій населених пунктів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 xml:space="preserve">», «Про засади державної регуляторної політики у сфері господарської діяльності», Методики проведення аналізу впливу регуляторного </w:t>
      </w:r>
      <w:proofErr w:type="spellStart"/>
      <w:r w:rsidRPr="00F876D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F876DD">
        <w:rPr>
          <w:rFonts w:ascii="Times New Roman" w:hAnsi="Times New Roman" w:cs="Times New Roman"/>
          <w:sz w:val="28"/>
          <w:szCs w:val="28"/>
          <w:lang w:val="uk-UA"/>
        </w:rPr>
        <w:t>, затвердженої постановою Кабінету Міністрів України від 11.03.2004р. №308</w:t>
      </w:r>
      <w:r>
        <w:rPr>
          <w:rFonts w:ascii="Times New Roman" w:hAnsi="Times New Roman" w:cs="Times New Roman"/>
          <w:sz w:val="28"/>
          <w:szCs w:val="28"/>
          <w:lang w:val="uk-UA"/>
        </w:rPr>
        <w:t>, постановою Кабінету Міністрів України від 01.08.2006 №1045 (зі змінами) «Про затвердження Порядку видалення дерев, кущів, газонів і квітників у населених пунктах»</w:t>
      </w:r>
      <w:r w:rsidR="00331495">
        <w:rPr>
          <w:rFonts w:ascii="Times New Roman" w:hAnsi="Times New Roman" w:cs="Times New Roman"/>
          <w:sz w:val="28"/>
          <w:szCs w:val="28"/>
          <w:lang w:val="uk-UA"/>
        </w:rPr>
        <w:t xml:space="preserve">, наказом Міністерства з питань житлово-комунального господарства України від 12.05.2009р. №127 «Про затвердження Методики визначення відновної вартості зелених насаджень» (зі змінами), «Правил утримання зелених насаджень у населених пунктах України» затверджених наказом Міністерства будівництва, архітектури та житлово-комунального господарства </w:t>
      </w:r>
      <w:r w:rsidR="007C1B7F">
        <w:rPr>
          <w:rFonts w:ascii="Times New Roman" w:hAnsi="Times New Roman" w:cs="Times New Roman"/>
          <w:sz w:val="28"/>
          <w:szCs w:val="28"/>
          <w:lang w:val="uk-UA"/>
        </w:rPr>
        <w:t>від 10.04.2006 №105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7D5" w:rsidRPr="00F876DD" w:rsidRDefault="00CF07D5" w:rsidP="00CF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DD">
        <w:rPr>
          <w:rFonts w:ascii="Times New Roman" w:hAnsi="Times New Roman" w:cs="Times New Roman"/>
          <w:b/>
          <w:sz w:val="28"/>
          <w:szCs w:val="28"/>
          <w:lang w:val="uk-UA"/>
        </w:rPr>
        <w:t>Назва регуляторного акту:</w:t>
      </w:r>
    </w:p>
    <w:p w:rsidR="00CF07D5" w:rsidRPr="00F876DD" w:rsidRDefault="00CF07D5" w:rsidP="00CF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DD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Павлоградської міської ради 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C1B7F">
        <w:rPr>
          <w:rFonts w:ascii="Times New Roman" w:hAnsi="Times New Roman" w:cs="Times New Roman"/>
          <w:sz w:val="28"/>
          <w:szCs w:val="28"/>
          <w:lang w:val="uk-UA"/>
        </w:rPr>
        <w:t>Про затвердження відновної вартості зелених насаджень, що підлягають видаленню в                        м. Павлограді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F07D5" w:rsidRPr="00F876DD" w:rsidRDefault="00CF07D5" w:rsidP="00CF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DD">
        <w:rPr>
          <w:rFonts w:ascii="Times New Roman" w:hAnsi="Times New Roman" w:cs="Times New Roman"/>
          <w:b/>
          <w:sz w:val="28"/>
          <w:szCs w:val="28"/>
          <w:lang w:val="uk-UA"/>
        </w:rPr>
        <w:t>Регуляторний орган: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господарства та будівництва Павлоградської міської ради.</w:t>
      </w:r>
    </w:p>
    <w:p w:rsidR="00CF07D5" w:rsidRPr="00F876DD" w:rsidRDefault="00CF07D5" w:rsidP="00CF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DD">
        <w:rPr>
          <w:rFonts w:ascii="Times New Roman" w:hAnsi="Times New Roman" w:cs="Times New Roman"/>
          <w:b/>
          <w:sz w:val="28"/>
          <w:szCs w:val="28"/>
          <w:lang w:val="uk-UA"/>
        </w:rPr>
        <w:t>Розробник документу: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господарства та будівництва Павлоградської міської ради.</w:t>
      </w:r>
    </w:p>
    <w:p w:rsidR="00CF07D5" w:rsidRDefault="00CF07D5" w:rsidP="00CF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Контактний телефон: </w:t>
      </w:r>
      <w:r w:rsidR="007C1B7F">
        <w:rPr>
          <w:rFonts w:ascii="Times New Roman" w:hAnsi="Times New Roman" w:cs="Times New Roman"/>
          <w:sz w:val="28"/>
          <w:szCs w:val="28"/>
          <w:lang w:val="uk-UA"/>
        </w:rPr>
        <w:t>+38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050 </w:t>
      </w:r>
      <w:r w:rsidRPr="00F876DD">
        <w:rPr>
          <w:rFonts w:ascii="Times New Roman" w:hAnsi="Times New Roman" w:cs="Times New Roman"/>
          <w:sz w:val="28"/>
          <w:szCs w:val="28"/>
          <w:lang w:val="uk-UA"/>
        </w:rPr>
        <w:t>880 78 92</w:t>
      </w:r>
    </w:p>
    <w:p w:rsidR="00C815E2" w:rsidRPr="00F876DD" w:rsidRDefault="00C815E2" w:rsidP="00CF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7D5" w:rsidRPr="00840BCB" w:rsidRDefault="00CF07D5" w:rsidP="00A73F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BCB">
        <w:rPr>
          <w:rFonts w:ascii="Times New Roman" w:hAnsi="Times New Roman" w:cs="Times New Roman"/>
          <w:b/>
          <w:sz w:val="28"/>
          <w:szCs w:val="28"/>
          <w:lang w:val="uk-UA"/>
        </w:rPr>
        <w:t>1.Проблема, яку передбачається розв'язати шляхом державного регулювання.</w:t>
      </w:r>
    </w:p>
    <w:p w:rsidR="00CF07D5" w:rsidRPr="00761F7F" w:rsidRDefault="00CF07D5" w:rsidP="00A73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F7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комітетом Павлоградської міської ради  у </w:t>
      </w:r>
      <w:r w:rsidR="007C1B7F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761F7F">
        <w:rPr>
          <w:rFonts w:ascii="Times New Roman" w:hAnsi="Times New Roman" w:cs="Times New Roman"/>
          <w:sz w:val="28"/>
          <w:szCs w:val="28"/>
          <w:lang w:val="uk-UA"/>
        </w:rPr>
        <w:t xml:space="preserve"> році було</w:t>
      </w:r>
    </w:p>
    <w:p w:rsidR="00CF07D5" w:rsidRPr="004B5F43" w:rsidRDefault="007C1B7F" w:rsidP="00A73F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F07D5" w:rsidRPr="00761F7F"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«Відновну вартість зелених насаджень, що підлягають видаленню в м. Павлоград»</w:t>
      </w:r>
      <w:r w:rsidR="00CF07D5">
        <w:rPr>
          <w:rFonts w:ascii="Times New Roman" w:hAnsi="Times New Roman" w:cs="Times New Roman"/>
          <w:sz w:val="28"/>
          <w:szCs w:val="28"/>
          <w:lang w:val="uk-UA"/>
        </w:rPr>
        <w:t>, але</w:t>
      </w:r>
      <w:r w:rsidR="00CF07D5" w:rsidRPr="00761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7D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F07D5" w:rsidRPr="00761F7F">
        <w:rPr>
          <w:rFonts w:ascii="Times New Roman" w:hAnsi="Times New Roman" w:cs="Times New Roman"/>
          <w:sz w:val="28"/>
          <w:szCs w:val="28"/>
          <w:lang w:val="uk-UA"/>
        </w:rPr>
        <w:t>зв'язку з</w:t>
      </w:r>
      <w:r w:rsidR="00CF07D5">
        <w:rPr>
          <w:rFonts w:ascii="Times New Roman" w:hAnsi="Times New Roman" w:cs="Times New Roman"/>
          <w:sz w:val="28"/>
          <w:szCs w:val="28"/>
          <w:lang w:val="uk-UA"/>
        </w:rPr>
        <w:t xml:space="preserve">і змінами в законодавстві </w:t>
      </w:r>
      <w:r w:rsidR="00C815E2">
        <w:rPr>
          <w:rFonts w:ascii="Times New Roman" w:hAnsi="Times New Roman" w:cs="Times New Roman"/>
          <w:sz w:val="28"/>
          <w:szCs w:val="28"/>
          <w:lang w:val="uk-UA"/>
        </w:rPr>
        <w:t xml:space="preserve">та у розмірі мінімальної заробітної плати </w:t>
      </w:r>
      <w:r w:rsidR="00CF07D5">
        <w:rPr>
          <w:rFonts w:ascii="Times New Roman" w:hAnsi="Times New Roman" w:cs="Times New Roman"/>
          <w:sz w:val="28"/>
          <w:szCs w:val="28"/>
          <w:lang w:val="uk-UA"/>
        </w:rPr>
        <w:t>виникла необхідність у внесенні доповнень</w:t>
      </w:r>
      <w:r w:rsidR="00CF07D5" w:rsidRPr="00761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7D5">
        <w:rPr>
          <w:rFonts w:ascii="Times New Roman" w:hAnsi="Times New Roman" w:cs="Times New Roman"/>
          <w:sz w:val="28"/>
          <w:szCs w:val="28"/>
          <w:lang w:val="uk-UA"/>
        </w:rPr>
        <w:t>та перегляді  регуляторного акту діючому законодавству.</w:t>
      </w:r>
    </w:p>
    <w:p w:rsidR="0005012C" w:rsidRPr="007244B5" w:rsidRDefault="0005012C" w:rsidP="007244B5">
      <w:pPr>
        <w:pStyle w:val="a3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нашого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теперішній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r w:rsidRPr="007244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значна частина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знаходяться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незадовільному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аварійному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стані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значних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капіталовкладень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знесення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того, на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існують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випадки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самовільного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знесення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пошкодження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дерев та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чагарників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сприяє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покращанню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4B5">
        <w:rPr>
          <w:rFonts w:ascii="Times New Roman" w:hAnsi="Times New Roman" w:cs="Times New Roman"/>
          <w:color w:val="000000"/>
          <w:sz w:val="28"/>
          <w:szCs w:val="28"/>
        </w:rPr>
        <w:t>існуючого</w:t>
      </w:r>
      <w:proofErr w:type="spellEnd"/>
      <w:r w:rsidRPr="007244B5">
        <w:rPr>
          <w:rFonts w:ascii="Times New Roman" w:hAnsi="Times New Roman" w:cs="Times New Roman"/>
          <w:color w:val="000000"/>
          <w:sz w:val="28"/>
          <w:szCs w:val="28"/>
        </w:rPr>
        <w:t xml:space="preserve"> стану. </w:t>
      </w:r>
    </w:p>
    <w:p w:rsidR="0005012C" w:rsidRPr="007244B5" w:rsidRDefault="0005012C" w:rsidP="007244B5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244B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Відповідно до Закону України "Про благоустрій населених пунктів" та Наказу Міністерства будівництва, архітектури та житлово-комунального господарства України від 10.04.2006 №105 "Про затвердження Правил утримання зелених насаджень у населених пунктах України" організація розвитку та утримання зелених зон населених пунктів покладається на органи місцевого самоврядування,  а також передбачено, що рішення місцевих органів виконавчої влади та органів місцевого самоврядування щодо благоустрою території певного населеного пункту є обов’язковими для виконання розміщеними на цій території підприємствами, установами, організаціями та громадянами, які на ній проживають. Тому нагальним питанням в роботі виконавчих органів влади є упорядкування процедури утримання, збереження, знесення та відновлення об’єктів зелених насаджень, розвитку системи їх експлуатації, реальної оцінки вартості зелених насаджень та об’єктивного визначення витрат на їх створення на території міста. </w:t>
      </w:r>
    </w:p>
    <w:p w:rsidR="007244B5" w:rsidRPr="007244B5" w:rsidRDefault="007244B5" w:rsidP="007244B5">
      <w:pPr>
        <w:pStyle w:val="a3"/>
        <w:numPr>
          <w:ilvl w:val="0"/>
          <w:numId w:val="5"/>
        </w:numPr>
        <w:ind w:left="0" w:right="2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4B5">
        <w:rPr>
          <w:rFonts w:ascii="Times New Roman" w:hAnsi="Times New Roman" w:cs="Times New Roman"/>
          <w:sz w:val="28"/>
          <w:szCs w:val="28"/>
          <w:lang w:val="uk-UA"/>
        </w:rPr>
        <w:t>Затвердження показників для визначення відновної вартості зелених насаджень, що пропонується регуляторним актом збільшить надходження коштів, які спрямовуються на садіння дерев, кущів, влаштування газонів, та догляд за ними.</w:t>
      </w:r>
    </w:p>
    <w:p w:rsidR="004F064F" w:rsidRDefault="004F064F" w:rsidP="004F06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групи (підгрупи), на які проблема справляє вплив: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4"/>
        <w:gridCol w:w="3097"/>
        <w:gridCol w:w="3094"/>
      </w:tblGrid>
      <w:tr w:rsidR="004F064F" w:rsidTr="002A45B2">
        <w:tc>
          <w:tcPr>
            <w:tcW w:w="3190" w:type="dxa"/>
          </w:tcPr>
          <w:p w:rsidR="004F064F" w:rsidRDefault="004F064F" w:rsidP="002A45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3190" w:type="dxa"/>
          </w:tcPr>
          <w:p w:rsidR="004F064F" w:rsidRDefault="004F064F" w:rsidP="004F0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3191" w:type="dxa"/>
          </w:tcPr>
          <w:p w:rsidR="004F064F" w:rsidRDefault="004F064F" w:rsidP="004F0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4F064F" w:rsidTr="002A45B2">
        <w:tc>
          <w:tcPr>
            <w:tcW w:w="3190" w:type="dxa"/>
          </w:tcPr>
          <w:p w:rsidR="004F064F" w:rsidRDefault="004F064F" w:rsidP="002A45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</w:t>
            </w:r>
          </w:p>
        </w:tc>
        <w:tc>
          <w:tcPr>
            <w:tcW w:w="3190" w:type="dxa"/>
          </w:tcPr>
          <w:p w:rsidR="004F064F" w:rsidRDefault="004F064F" w:rsidP="004F0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191" w:type="dxa"/>
          </w:tcPr>
          <w:p w:rsidR="004F064F" w:rsidRDefault="004F064F" w:rsidP="004F0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F064F" w:rsidTr="002A45B2">
        <w:tc>
          <w:tcPr>
            <w:tcW w:w="3190" w:type="dxa"/>
          </w:tcPr>
          <w:p w:rsidR="004F064F" w:rsidRDefault="004F064F" w:rsidP="004F0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 місцевого самоврядування</w:t>
            </w:r>
          </w:p>
        </w:tc>
        <w:tc>
          <w:tcPr>
            <w:tcW w:w="3190" w:type="dxa"/>
          </w:tcPr>
          <w:p w:rsidR="004F064F" w:rsidRDefault="004F064F" w:rsidP="004F0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191" w:type="dxa"/>
          </w:tcPr>
          <w:p w:rsidR="004F064F" w:rsidRDefault="004F064F" w:rsidP="004F0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F064F" w:rsidTr="002A45B2">
        <w:tc>
          <w:tcPr>
            <w:tcW w:w="3190" w:type="dxa"/>
          </w:tcPr>
          <w:p w:rsidR="004F064F" w:rsidRDefault="004F064F" w:rsidP="002A45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Суб'єкти господарювання</w:t>
            </w:r>
          </w:p>
        </w:tc>
        <w:tc>
          <w:tcPr>
            <w:tcW w:w="3190" w:type="dxa"/>
          </w:tcPr>
          <w:p w:rsidR="004F064F" w:rsidRDefault="004F064F" w:rsidP="004F0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191" w:type="dxa"/>
          </w:tcPr>
          <w:p w:rsidR="004F064F" w:rsidRDefault="004F064F" w:rsidP="004F0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815E2" w:rsidRPr="0005012C" w:rsidRDefault="00C815E2" w:rsidP="000501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5E2" w:rsidRDefault="00C815E2" w:rsidP="004F06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815E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A73F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 </w:t>
      </w:r>
      <w:r w:rsidR="004F06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Цілі державного регулювання</w:t>
      </w:r>
    </w:p>
    <w:p w:rsidR="004F064F" w:rsidRDefault="004F064F" w:rsidP="004F06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064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новними цілями прийняття регуляторного акту є:</w:t>
      </w:r>
    </w:p>
    <w:p w:rsidR="004F064F" w:rsidRDefault="004F064F" w:rsidP="007244B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Забезпечення дотримання Закону України </w:t>
      </w:r>
      <w:r w:rsidR="00D90E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благоустрій населених пунктів», постанови КМУ від 01.08.2006 №1045 «Про затвердження </w:t>
      </w:r>
      <w:r w:rsidR="007244B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Порядку видалення дерев, кущів, газонів і квітників у населених пунктах</w:t>
      </w:r>
      <w:r w:rsidR="00D90E3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7244B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244B5" w:rsidRDefault="007244B5" w:rsidP="007244B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Визначення відновної вартості зелених насаджень у відповідності до загальнодержавних нормативних актів.</w:t>
      </w:r>
    </w:p>
    <w:p w:rsidR="007244B5" w:rsidRDefault="007244B5" w:rsidP="007244B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єдиної цілісної впорядкованої структурованої та прозорої системи при визначенні відновної вартості зелених насаджень у місті Павлограді.</w:t>
      </w:r>
    </w:p>
    <w:p w:rsidR="007244B5" w:rsidRDefault="007244B5" w:rsidP="007244B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Наповнення міського бюджету шляхом отримання додаткових надходжень, кошти яких будуть використовуватися на утримання та збереження зелених насаджень.</w:t>
      </w:r>
    </w:p>
    <w:p w:rsidR="007244B5" w:rsidRPr="004F064F" w:rsidRDefault="007244B5" w:rsidP="007244B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815E2" w:rsidRDefault="00AB34D6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34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Визначення та оцінка альтернативних способів досягнення цілей</w:t>
      </w:r>
    </w:p>
    <w:p w:rsidR="00491672" w:rsidRPr="00AB34D6" w:rsidRDefault="00491672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815E2" w:rsidRDefault="007517C4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3.1. Визначення альтернативних способів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491672" w:rsidTr="00491672">
        <w:tc>
          <w:tcPr>
            <w:tcW w:w="2972" w:type="dxa"/>
          </w:tcPr>
          <w:p w:rsidR="00491672" w:rsidRDefault="00491672" w:rsidP="00AB3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6373" w:type="dxa"/>
          </w:tcPr>
          <w:p w:rsidR="00491672" w:rsidRDefault="00491672" w:rsidP="00491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Опис альтернативи</w:t>
            </w:r>
          </w:p>
        </w:tc>
      </w:tr>
      <w:tr w:rsidR="00491672" w:rsidRPr="00913E33" w:rsidTr="00491672">
        <w:tc>
          <w:tcPr>
            <w:tcW w:w="2972" w:type="dxa"/>
          </w:tcPr>
          <w:p w:rsidR="00491672" w:rsidRDefault="00491672" w:rsidP="00AB3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6373" w:type="dxa"/>
          </w:tcPr>
          <w:p w:rsidR="00491672" w:rsidRDefault="00491672" w:rsidP="00AB3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Прийняття рішення.</w:t>
            </w:r>
          </w:p>
          <w:p w:rsidR="00491672" w:rsidRDefault="00491672" w:rsidP="00AB3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разі прийняття рішення і затвердження показників для визначення відновної вартості зелених насаджень, буде досягнуто поставленої цілі, що забезпечить виконання вимог діючого законодавства.</w:t>
            </w:r>
          </w:p>
        </w:tc>
      </w:tr>
      <w:tr w:rsidR="00491672" w:rsidRPr="00913E33" w:rsidTr="00491672">
        <w:tc>
          <w:tcPr>
            <w:tcW w:w="2972" w:type="dxa"/>
          </w:tcPr>
          <w:p w:rsidR="00491672" w:rsidRDefault="00491672" w:rsidP="00AB3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6373" w:type="dxa"/>
          </w:tcPr>
          <w:p w:rsidR="00491672" w:rsidRDefault="00491672" w:rsidP="00AB3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прийняття відповідного рішення.</w:t>
            </w:r>
          </w:p>
          <w:p w:rsidR="00491672" w:rsidRDefault="00491672" w:rsidP="00AB34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Дана альтернатива є неприйнятною у зв’язку з тим, що розмір відновної вартості зелених насаджень (дерев та кущів) у м. Павлограді не відповідатиме вимогам, встановленим діючими законодавствами, нормативними актами та дійсній сумі створення та утримання зелених насаджень.</w:t>
            </w:r>
          </w:p>
        </w:tc>
      </w:tr>
    </w:tbl>
    <w:p w:rsidR="00AB34D6" w:rsidRDefault="00AB34D6" w:rsidP="00AB34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1672" w:rsidRDefault="00491672" w:rsidP="00491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3.2. Оцінка вибраних альтернативних способів досягнення цілей.</w:t>
      </w:r>
    </w:p>
    <w:p w:rsidR="00A6167F" w:rsidRDefault="00A6167F" w:rsidP="00491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Оцінка впливу на сферу інтересів держави: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546"/>
      </w:tblGrid>
      <w:tr w:rsidR="00491672" w:rsidTr="00A6167F">
        <w:tc>
          <w:tcPr>
            <w:tcW w:w="2972" w:type="dxa"/>
          </w:tcPr>
          <w:p w:rsidR="00491672" w:rsidRDefault="00491672" w:rsidP="00491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827" w:type="dxa"/>
          </w:tcPr>
          <w:p w:rsidR="00491672" w:rsidRDefault="00491672" w:rsidP="00491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2546" w:type="dxa"/>
          </w:tcPr>
          <w:p w:rsidR="00491672" w:rsidRDefault="00491672" w:rsidP="00491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Витрати</w:t>
            </w:r>
          </w:p>
        </w:tc>
      </w:tr>
      <w:tr w:rsidR="00491672" w:rsidTr="00A6167F">
        <w:tc>
          <w:tcPr>
            <w:tcW w:w="2972" w:type="dxa"/>
          </w:tcPr>
          <w:p w:rsidR="00491672" w:rsidRDefault="00491672" w:rsidP="00491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827" w:type="dxa"/>
          </w:tcPr>
          <w:p w:rsidR="00A6167F" w:rsidRDefault="00A6167F" w:rsidP="00A616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A616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Забезпечить виконання вимог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діючого законодавства.</w:t>
            </w:r>
          </w:p>
          <w:p w:rsidR="00491672" w:rsidRDefault="00A6167F" w:rsidP="00A616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Збільшить надходження до бюджету міста коштів, що дасть можливість створювати нові зелені насадження, утримувати їх в належному стані.</w:t>
            </w:r>
          </w:p>
          <w:p w:rsidR="00A6167F" w:rsidRPr="00A6167F" w:rsidRDefault="00A6167F" w:rsidP="00A616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Зменшить кількість скарг до органів місцевого самоврядування щодо незадовільного стану зелених насаджень.</w:t>
            </w:r>
          </w:p>
        </w:tc>
        <w:tc>
          <w:tcPr>
            <w:tcW w:w="2546" w:type="dxa"/>
          </w:tcPr>
          <w:p w:rsidR="00491672" w:rsidRDefault="00A6167F" w:rsidP="008A3D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Відсутні</w:t>
            </w:r>
          </w:p>
        </w:tc>
      </w:tr>
      <w:tr w:rsidR="00491672" w:rsidTr="00A6167F">
        <w:tc>
          <w:tcPr>
            <w:tcW w:w="2972" w:type="dxa"/>
          </w:tcPr>
          <w:p w:rsidR="00491672" w:rsidRDefault="00491672" w:rsidP="00491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827" w:type="dxa"/>
          </w:tcPr>
          <w:p w:rsidR="00491672" w:rsidRPr="00A6167F" w:rsidRDefault="00A6167F" w:rsidP="00A616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Розмір відновної вартості зелених насаджень не відповідатиме вимогам діючого законодавства та реальній вартості видалення.</w:t>
            </w:r>
          </w:p>
        </w:tc>
        <w:tc>
          <w:tcPr>
            <w:tcW w:w="2546" w:type="dxa"/>
          </w:tcPr>
          <w:p w:rsidR="00491672" w:rsidRDefault="0018172F" w:rsidP="004916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надходження додаткових коштів до міського бюджету</w:t>
            </w:r>
          </w:p>
        </w:tc>
      </w:tr>
    </w:tbl>
    <w:p w:rsidR="00C815E2" w:rsidRDefault="00C815E2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167F" w:rsidRDefault="0018172F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Оцінка впливу на сферу інтересів громадян: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172F" w:rsidTr="0018172F">
        <w:tc>
          <w:tcPr>
            <w:tcW w:w="3115" w:type="dxa"/>
          </w:tcPr>
          <w:p w:rsidR="0018172F" w:rsidRDefault="0018172F" w:rsidP="00C81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115" w:type="dxa"/>
          </w:tcPr>
          <w:p w:rsidR="0018172F" w:rsidRDefault="0018172F" w:rsidP="00181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115" w:type="dxa"/>
          </w:tcPr>
          <w:p w:rsidR="0018172F" w:rsidRDefault="0018172F" w:rsidP="00181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Витрати</w:t>
            </w:r>
          </w:p>
        </w:tc>
      </w:tr>
      <w:tr w:rsidR="0018172F" w:rsidTr="0018172F">
        <w:tc>
          <w:tcPr>
            <w:tcW w:w="3115" w:type="dxa"/>
          </w:tcPr>
          <w:p w:rsidR="0018172F" w:rsidRDefault="0018172F" w:rsidP="00C81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115" w:type="dxa"/>
          </w:tcPr>
          <w:p w:rsidR="0018172F" w:rsidRPr="0018172F" w:rsidRDefault="0018172F" w:rsidP="001817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325">
              <w:rPr>
                <w:sz w:val="28"/>
                <w:szCs w:val="28"/>
                <w:lang w:val="uk-UA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81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окращення забезпечення повноцінних, якісних та своєчасних послуг з відновлення зелених насаджень;</w:t>
            </w:r>
          </w:p>
          <w:p w:rsidR="0018172F" w:rsidRPr="0018172F" w:rsidRDefault="0018172F" w:rsidP="001817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81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тримування зелених насаджень у належному стані;</w:t>
            </w:r>
          </w:p>
          <w:p w:rsidR="0018172F" w:rsidRDefault="0018172F" w:rsidP="00181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1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81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меншити кількість скарг до органів місцевого самоврядування щодо незадовільного тримання зелених насаджень</w:t>
            </w:r>
            <w:r w:rsidRPr="00181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18172F" w:rsidRDefault="0018172F" w:rsidP="00C81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Збільшення розміру плати за відновну вартість зелених насаджень (в </w:t>
            </w:r>
            <w:r w:rsidR="008A3D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1,5-2 рази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18172F" w:rsidTr="0018172F">
        <w:tc>
          <w:tcPr>
            <w:tcW w:w="3115" w:type="dxa"/>
          </w:tcPr>
          <w:p w:rsidR="0018172F" w:rsidRDefault="0018172F" w:rsidP="00C81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115" w:type="dxa"/>
          </w:tcPr>
          <w:p w:rsidR="0018172F" w:rsidRDefault="008A3D67" w:rsidP="00C81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Менший розмір плати за відновну вартість зелених насаджень</w:t>
            </w:r>
          </w:p>
        </w:tc>
        <w:tc>
          <w:tcPr>
            <w:tcW w:w="3115" w:type="dxa"/>
          </w:tcPr>
          <w:p w:rsidR="0018172F" w:rsidRDefault="008A3D67" w:rsidP="00C81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8A3D67" w:rsidRDefault="008A3D67" w:rsidP="00913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F0519" w:rsidTr="00FF0519">
        <w:tc>
          <w:tcPr>
            <w:tcW w:w="3115" w:type="dxa"/>
          </w:tcPr>
          <w:p w:rsidR="00FF0519" w:rsidRDefault="00FF0519" w:rsidP="00FF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115" w:type="dxa"/>
          </w:tcPr>
          <w:p w:rsidR="00FF0519" w:rsidRDefault="00FF0519" w:rsidP="00FF0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115" w:type="dxa"/>
          </w:tcPr>
          <w:p w:rsidR="00FF0519" w:rsidRDefault="00FF0519" w:rsidP="00FF0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Витрати</w:t>
            </w:r>
          </w:p>
        </w:tc>
      </w:tr>
      <w:tr w:rsidR="00FF0519" w:rsidTr="00FF0519">
        <w:tc>
          <w:tcPr>
            <w:tcW w:w="3115" w:type="dxa"/>
          </w:tcPr>
          <w:p w:rsidR="00FF0519" w:rsidRDefault="00FF0519" w:rsidP="00FF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115" w:type="dxa"/>
          </w:tcPr>
          <w:p w:rsidR="00FF0519" w:rsidRDefault="00FF0519" w:rsidP="00FF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115" w:type="dxa"/>
          </w:tcPr>
          <w:p w:rsidR="00FF0519" w:rsidRDefault="00FF0519" w:rsidP="00FF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Збільшення розміру плати за відновну вартість зелених насаджень (в 1,5-2 рази)</w:t>
            </w:r>
          </w:p>
        </w:tc>
      </w:tr>
      <w:tr w:rsidR="00FF0519" w:rsidTr="00FF0519">
        <w:tc>
          <w:tcPr>
            <w:tcW w:w="3115" w:type="dxa"/>
          </w:tcPr>
          <w:p w:rsidR="00FF0519" w:rsidRDefault="00FF0519" w:rsidP="00FF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115" w:type="dxa"/>
          </w:tcPr>
          <w:p w:rsidR="00FF0519" w:rsidRDefault="00FF0519" w:rsidP="00FF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Менший розмір плати за відновну вартість зелених насаджень</w:t>
            </w:r>
          </w:p>
        </w:tc>
        <w:tc>
          <w:tcPr>
            <w:tcW w:w="3115" w:type="dxa"/>
          </w:tcPr>
          <w:p w:rsidR="00FF0519" w:rsidRDefault="00FF0519" w:rsidP="00FF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FF0519" w:rsidRDefault="00FF0519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0519" w:rsidRDefault="00FF0519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5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 час проведення оцінки впливу на сферу інтересів суб’єктів господарювання великого і середнього підприємництва окремо кількісно визначити витрати, які будуть виникати внаслідок дії регуляторного </w:t>
      </w:r>
      <w:proofErr w:type="spellStart"/>
      <w:r w:rsidRPr="00FF0519">
        <w:rPr>
          <w:rFonts w:ascii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F05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F0519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згідно з додатком 2 до Методики проведення аналізу впливу регуляторного </w:t>
      </w:r>
      <w:proofErr w:type="spellStart"/>
      <w:r w:rsidRPr="00FF0519">
        <w:rPr>
          <w:rFonts w:ascii="Times New Roman" w:hAnsi="Times New Roman" w:cs="Times New Roman"/>
          <w:i/>
          <w:sz w:val="28"/>
          <w:szCs w:val="28"/>
          <w:lang w:val="uk-UA" w:eastAsia="ru-RU"/>
        </w:rPr>
        <w:t>акта</w:t>
      </w:r>
      <w:proofErr w:type="spellEnd"/>
      <w:r w:rsidRPr="00FF0519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FF0519" w:rsidTr="00FF0519">
        <w:tc>
          <w:tcPr>
            <w:tcW w:w="4957" w:type="dxa"/>
          </w:tcPr>
          <w:p w:rsidR="00FF0519" w:rsidRDefault="00FF0519" w:rsidP="00C81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88" w:type="dxa"/>
          </w:tcPr>
          <w:p w:rsidR="00FF0519" w:rsidRDefault="00FF0519" w:rsidP="00FF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Сума витрат, грн.</w:t>
            </w:r>
          </w:p>
        </w:tc>
      </w:tr>
      <w:tr w:rsidR="00FF0519" w:rsidTr="00FF0519">
        <w:tc>
          <w:tcPr>
            <w:tcW w:w="4957" w:type="dxa"/>
          </w:tcPr>
          <w:p w:rsidR="00FF0519" w:rsidRPr="00FF0519" w:rsidRDefault="00FF0519" w:rsidP="00FF051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FF05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Альтернатива 1</w:t>
            </w:r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суб’єктів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господарювання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великого і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середнього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підприємництва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388" w:type="dxa"/>
          </w:tcPr>
          <w:p w:rsidR="00FF0519" w:rsidRDefault="00FF0519" w:rsidP="00FF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Збільшення розміру плати за відновну вартість зелених насаджень (в 1,5-2 рази)</w:t>
            </w:r>
          </w:p>
        </w:tc>
      </w:tr>
      <w:tr w:rsidR="00FF0519" w:rsidTr="00FF0519">
        <w:tc>
          <w:tcPr>
            <w:tcW w:w="4957" w:type="dxa"/>
          </w:tcPr>
          <w:p w:rsidR="00FF0519" w:rsidRPr="00FF0519" w:rsidRDefault="00FF0519" w:rsidP="00FF051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FF05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Альтернатива 2</w:t>
            </w:r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суб’єктів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господарювання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великого і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середнього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підприємництва</w:t>
            </w:r>
            <w:proofErr w:type="spellEnd"/>
            <w:r w:rsidRPr="00FF0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8" w:type="dxa"/>
          </w:tcPr>
          <w:p w:rsidR="00FF0519" w:rsidRDefault="00FF0519" w:rsidP="00FF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Сума буде залежати від кількості зелених насаджень, які підлягатимуть видаленню</w:t>
            </w:r>
          </w:p>
        </w:tc>
      </w:tr>
    </w:tbl>
    <w:p w:rsidR="00FF0519" w:rsidRDefault="00FF0519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F0519" w:rsidRDefault="00FF0519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F051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4. Вибір найбільш </w:t>
      </w:r>
      <w:proofErr w:type="spellStart"/>
      <w:r w:rsidRPr="00FF0519">
        <w:rPr>
          <w:rFonts w:ascii="Times New Roman" w:hAnsi="Times New Roman" w:cs="Times New Roman"/>
          <w:b/>
          <w:sz w:val="28"/>
          <w:szCs w:val="28"/>
          <w:lang w:val="uk-UA" w:eastAsia="ru-RU"/>
        </w:rPr>
        <w:t>оптмального</w:t>
      </w:r>
      <w:proofErr w:type="spellEnd"/>
      <w:r w:rsidRPr="00FF051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альтернативного способу досягнення цілей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2685" w:rsidRPr="005D2685" w:rsidTr="00FF0519"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Рейтинг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результативності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цілей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вирішення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результативності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чотирибальною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системою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Коментарі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присвоєння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бала</w:t>
            </w:r>
          </w:p>
        </w:tc>
      </w:tr>
      <w:tr w:rsidR="005D2685" w:rsidRPr="005D2685" w:rsidTr="00FF0519"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Альтернатива 1</w:t>
            </w:r>
          </w:p>
        </w:tc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регуляторного акта,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досягнуті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повною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мірою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(проблема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існувати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буде)</w:t>
            </w:r>
          </w:p>
        </w:tc>
      </w:tr>
      <w:tr w:rsidR="005D2685" w:rsidRPr="005D2685" w:rsidTr="00FF0519"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Альтернатива 2</w:t>
            </w:r>
          </w:p>
        </w:tc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ілі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регуляторного акта,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досягнуті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(проблема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продовжує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існувати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D2685" w:rsidRDefault="005D2685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1770"/>
        <w:gridCol w:w="2693"/>
        <w:gridCol w:w="2546"/>
      </w:tblGrid>
      <w:tr w:rsidR="005D2685" w:rsidRPr="005D2685" w:rsidTr="005D2685">
        <w:tc>
          <w:tcPr>
            <w:tcW w:w="2336" w:type="dxa"/>
          </w:tcPr>
          <w:p w:rsidR="005D2685" w:rsidRPr="005D2685" w:rsidRDefault="005D2685" w:rsidP="005D2685">
            <w:pPr>
              <w:spacing w:before="150" w:after="1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Рейтинг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результативності</w:t>
            </w:r>
            <w:proofErr w:type="spellEnd"/>
          </w:p>
        </w:tc>
        <w:tc>
          <w:tcPr>
            <w:tcW w:w="1770" w:type="dxa"/>
          </w:tcPr>
          <w:p w:rsidR="005D2685" w:rsidRPr="005D2685" w:rsidRDefault="005D2685" w:rsidP="005D2685">
            <w:pPr>
              <w:spacing w:before="150" w:after="1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Вигоди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підсумок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5D2685" w:rsidRPr="005D2685" w:rsidRDefault="005D2685" w:rsidP="005D2685">
            <w:pPr>
              <w:spacing w:before="150" w:after="1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підсумок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6" w:type="dxa"/>
          </w:tcPr>
          <w:p w:rsidR="005D2685" w:rsidRPr="005D2685" w:rsidRDefault="005D2685" w:rsidP="005D2685">
            <w:pPr>
              <w:spacing w:before="150" w:after="15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Обґрунтування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місця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рейтингу</w:t>
            </w:r>
          </w:p>
        </w:tc>
      </w:tr>
      <w:tr w:rsidR="005D2685" w:rsidRPr="005D2685" w:rsidTr="005D2685">
        <w:tc>
          <w:tcPr>
            <w:tcW w:w="2336" w:type="dxa"/>
          </w:tcPr>
          <w:p w:rsidR="005D2685" w:rsidRPr="005D2685" w:rsidRDefault="005D2685" w:rsidP="005D26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Альтернатива 1</w:t>
            </w:r>
          </w:p>
        </w:tc>
        <w:tc>
          <w:tcPr>
            <w:tcW w:w="1770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93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6" w:type="dxa"/>
          </w:tcPr>
          <w:p w:rsidR="005D2685" w:rsidRPr="005D2685" w:rsidRDefault="005D2685" w:rsidP="005D26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Збільшення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надходження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до бюджету</w:t>
            </w:r>
            <w:proofErr w:type="gram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напруженості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2685" w:rsidRPr="005D2685" w:rsidTr="005D2685">
        <w:tc>
          <w:tcPr>
            <w:tcW w:w="2336" w:type="dxa"/>
          </w:tcPr>
          <w:p w:rsidR="005D2685" w:rsidRPr="005D2685" w:rsidRDefault="005D2685" w:rsidP="005D26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Альтернатива 2</w:t>
            </w:r>
          </w:p>
        </w:tc>
        <w:tc>
          <w:tcPr>
            <w:tcW w:w="1770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93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6" w:type="dxa"/>
          </w:tcPr>
          <w:p w:rsidR="005D2685" w:rsidRPr="005D2685" w:rsidRDefault="005D2685" w:rsidP="005D26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Менша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сума 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надходжень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</w:tbl>
    <w:p w:rsidR="005D2685" w:rsidRDefault="005D2685" w:rsidP="00C81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2685" w:rsidRPr="005D2685" w:rsidTr="005D2685"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Аргументи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переваги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обраної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/причини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відмови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</w:p>
        </w:tc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ризику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зовнішніх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чинників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дію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запропонованого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регуляторного акта</w:t>
            </w:r>
          </w:p>
        </w:tc>
      </w:tr>
      <w:tr w:rsidR="005D2685" w:rsidRPr="005D2685" w:rsidTr="005D2685"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Альтернатива 1</w:t>
            </w:r>
          </w:p>
        </w:tc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Збільшення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розміру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плати за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відновну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вартість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зелених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lastRenderedPageBreak/>
              <w:t>насаджень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забезпечить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вимог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діючого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:rsidR="005D2685" w:rsidRPr="005D2685" w:rsidRDefault="005D2685" w:rsidP="005D2685">
            <w:pPr>
              <w:tabs>
                <w:tab w:val="left" w:pos="5416"/>
              </w:tabs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Збільшення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відновної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вартості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одиниці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зелених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насаджень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зменшенні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платіжної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спроможності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юридичних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фізичних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економічної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кризи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2685" w:rsidRPr="005D2685" w:rsidTr="005D2685"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Альтернатива 2</w:t>
            </w:r>
          </w:p>
        </w:tc>
        <w:tc>
          <w:tcPr>
            <w:tcW w:w="3115" w:type="dxa"/>
          </w:tcPr>
          <w:p w:rsidR="005D2685" w:rsidRPr="005D2685" w:rsidRDefault="005D2685" w:rsidP="005D2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забезпечить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поставлених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, тому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 не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привести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розмір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відновної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вартості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зелених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насаджень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у </w:t>
            </w:r>
            <w:proofErr w:type="spellStart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відповідність</w:t>
            </w:r>
            <w:proofErr w:type="spellEnd"/>
            <w:r w:rsidRPr="005D26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до</w:t>
            </w:r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 xml:space="preserve"> чинного </w:t>
            </w: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3115" w:type="dxa"/>
          </w:tcPr>
          <w:p w:rsidR="005D2685" w:rsidRPr="005D2685" w:rsidRDefault="005D2685" w:rsidP="005D26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Відсутні</w:t>
            </w:r>
            <w:proofErr w:type="spellEnd"/>
          </w:p>
        </w:tc>
      </w:tr>
    </w:tbl>
    <w:p w:rsidR="005449D4" w:rsidRPr="005A6098" w:rsidRDefault="005449D4" w:rsidP="005D26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6098" w:rsidRPr="005D2685" w:rsidRDefault="00C671A6" w:rsidP="00242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A6098" w:rsidRPr="005A6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5A6098" w:rsidRPr="005A6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Механізми</w:t>
      </w:r>
      <w:proofErr w:type="spellEnd"/>
      <w:r w:rsidR="005A6098" w:rsidRPr="005A6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заходи, </w:t>
      </w:r>
      <w:proofErr w:type="spellStart"/>
      <w:r w:rsidR="005A6098" w:rsidRPr="005A6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які</w:t>
      </w:r>
      <w:proofErr w:type="spellEnd"/>
      <w:r w:rsidR="005A6098" w:rsidRPr="005A6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A6098" w:rsidRPr="005A6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забезпечать</w:t>
      </w:r>
      <w:proofErr w:type="spellEnd"/>
      <w:r w:rsidR="005A6098" w:rsidRPr="005A6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A6098" w:rsidRPr="005A6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розв’язання</w:t>
      </w:r>
      <w:proofErr w:type="spellEnd"/>
      <w:r w:rsidR="005A6098" w:rsidRPr="005A6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26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проблеми</w:t>
      </w:r>
    </w:p>
    <w:p w:rsidR="005A6098" w:rsidRPr="005A6098" w:rsidRDefault="005A6098" w:rsidP="00242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прийнятті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запропонованого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регуляторного акта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будуть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діяти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механізми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та заходи,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забезпечать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розв’язання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проблем:</w:t>
      </w:r>
    </w:p>
    <w:p w:rsidR="005A6098" w:rsidRPr="005A6098" w:rsidRDefault="005D2685" w:rsidP="00242D5D">
      <w:pPr>
        <w:tabs>
          <w:tab w:val="left" w:pos="5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нарахування та сплати відновної вартості зелених насаджень у м. Павлограді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098" w:rsidRPr="005A6098" w:rsidRDefault="005A6098" w:rsidP="00242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оплати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відновної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спрямування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на заходи з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озеленення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6098" w:rsidRPr="005A6098" w:rsidRDefault="005A6098" w:rsidP="00242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знесення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6098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5A60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6098" w:rsidRPr="005A6098" w:rsidRDefault="005A6098" w:rsidP="00242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1A6" w:rsidRDefault="00C671A6" w:rsidP="00C67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Оцінка виконання вимог регуляторного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C671A6" w:rsidRDefault="00C671A6" w:rsidP="00C6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витрат на виконання вимог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органів виконавчої ради чи органів місцевого самоврядування згідно з додатком 3 до Методики проведення аналізу впливу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(згідно вимог Постанови КМУ від 16.12.2015 року №1151 «Про внесення змін до Постанови КМУ від 11.03.2004 року  № 308) не передбачено.</w:t>
      </w:r>
    </w:p>
    <w:p w:rsidR="00C671A6" w:rsidRDefault="00C671A6" w:rsidP="00C6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Проект рішення розповсюджується на сферу інтересів суб'єктів господарювання які матимуть намір здійснити видалення зелених насаджень на території міста Павлоград.</w:t>
      </w:r>
    </w:p>
    <w:p w:rsidR="00C671A6" w:rsidRDefault="00C671A6" w:rsidP="00C6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1A6" w:rsidRPr="00C671A6" w:rsidRDefault="00C671A6" w:rsidP="00C67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671A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7. </w:t>
      </w:r>
      <w:proofErr w:type="spellStart"/>
      <w:r w:rsidRPr="00C671A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Обгрунтування</w:t>
      </w:r>
      <w:proofErr w:type="spellEnd"/>
      <w:r w:rsidRPr="00C671A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запропонованого </w:t>
      </w:r>
      <w:proofErr w:type="spellStart"/>
      <w:r w:rsidRPr="00C671A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строу</w:t>
      </w:r>
      <w:proofErr w:type="spellEnd"/>
      <w:r w:rsidRPr="00C671A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дії регуляторного </w:t>
      </w:r>
      <w:proofErr w:type="spellStart"/>
      <w:r w:rsidRPr="00C671A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акта</w:t>
      </w:r>
      <w:proofErr w:type="spellEnd"/>
    </w:p>
    <w:p w:rsidR="004605A5" w:rsidRPr="005B4682" w:rsidRDefault="004605A5" w:rsidP="004605A5">
      <w:pPr>
        <w:tabs>
          <w:tab w:val="left" w:pos="5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val="uk-UA" w:eastAsia="ru-RU"/>
        </w:rPr>
      </w:pPr>
      <w:r w:rsidRPr="005B4682">
        <w:rPr>
          <w:rFonts w:ascii="Times New Roman" w:hAnsi="Times New Roman" w:cs="Times New Roman"/>
          <w:sz w:val="28"/>
          <w:szCs w:val="28"/>
          <w:lang w:val="uk-UA"/>
        </w:rPr>
        <w:t xml:space="preserve">На дію цього регуляторного </w:t>
      </w:r>
      <w:proofErr w:type="spellStart"/>
      <w:r w:rsidRPr="005B468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5B4682">
        <w:rPr>
          <w:rFonts w:ascii="Times New Roman" w:hAnsi="Times New Roman" w:cs="Times New Roman"/>
          <w:sz w:val="28"/>
          <w:szCs w:val="28"/>
          <w:lang w:val="uk-UA"/>
        </w:rPr>
        <w:t xml:space="preserve"> можуть вплинути зміни в діючому законодавстві, які стосуються як Порядку </w:t>
      </w:r>
      <w:r w:rsidRPr="005B4682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видалення дерев, кущів, газонів і квітників у населених пунктах, так і Методики визначення відновної вартості зелених насаджень. </w:t>
      </w:r>
    </w:p>
    <w:p w:rsidR="004605A5" w:rsidRPr="004605A5" w:rsidRDefault="004605A5" w:rsidP="004605A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val="uk-UA" w:eastAsia="ru-RU"/>
        </w:rPr>
      </w:pPr>
      <w:r w:rsidRPr="004605A5">
        <w:rPr>
          <w:rFonts w:ascii="Times New Roman" w:hAnsi="Times New Roman" w:cs="Times New Roman"/>
          <w:spacing w:val="3"/>
          <w:sz w:val="28"/>
          <w:szCs w:val="28"/>
          <w:lang w:val="uk-UA" w:eastAsia="ru-RU"/>
        </w:rPr>
        <w:lastRenderedPageBreak/>
        <w:t xml:space="preserve">Крім того, на дію регуляторного </w:t>
      </w:r>
      <w:proofErr w:type="spellStart"/>
      <w:r w:rsidRPr="004605A5">
        <w:rPr>
          <w:rFonts w:ascii="Times New Roman" w:hAnsi="Times New Roman" w:cs="Times New Roman"/>
          <w:spacing w:val="3"/>
          <w:sz w:val="28"/>
          <w:szCs w:val="28"/>
          <w:lang w:val="uk-UA" w:eastAsia="ru-RU"/>
        </w:rPr>
        <w:t>акта</w:t>
      </w:r>
      <w:proofErr w:type="spellEnd"/>
      <w:r w:rsidRPr="004605A5">
        <w:rPr>
          <w:rFonts w:ascii="Times New Roman" w:hAnsi="Times New Roman" w:cs="Times New Roman"/>
          <w:spacing w:val="3"/>
          <w:sz w:val="28"/>
          <w:szCs w:val="28"/>
          <w:lang w:val="uk-UA" w:eastAsia="ru-RU"/>
        </w:rPr>
        <w:t xml:space="preserve"> негативно може вплинути економічна криза в країні та значні темпи інфляції, і як наслідок зростання вартості створення та утримання одиниці зелених насаджень (дерев, кущів, газонів, квітників).</w:t>
      </w:r>
    </w:p>
    <w:p w:rsidR="004605A5" w:rsidRDefault="004605A5" w:rsidP="00460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аналізу відстеження результативності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також у разі потреби та з урахуванням відповідних нормативних актів до нього теж будуть вноситися відповідні зміни.</w:t>
      </w:r>
    </w:p>
    <w:p w:rsidR="004605A5" w:rsidRPr="004605A5" w:rsidRDefault="004605A5" w:rsidP="00460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1A6" w:rsidRDefault="004605A5" w:rsidP="00C67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605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8. Визначення показників результативності </w:t>
      </w:r>
      <w:proofErr w:type="spellStart"/>
      <w:r w:rsidRPr="004605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акта</w:t>
      </w:r>
      <w:proofErr w:type="spellEnd"/>
    </w:p>
    <w:p w:rsidR="004605A5" w:rsidRDefault="00132B46" w:rsidP="00C67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відстеження результативності дії регуляторного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визначені такі показники:</w:t>
      </w:r>
    </w:p>
    <w:p w:rsidR="00132B46" w:rsidRDefault="00132B46" w:rsidP="00132B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Рівень поінформованості суб’єктів господарювання та/або фізичних осіб.</w:t>
      </w:r>
    </w:p>
    <w:p w:rsidR="00132B46" w:rsidRDefault="00132B46" w:rsidP="00132B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видалених згідно дозволів зелених насаджень.</w:t>
      </w:r>
    </w:p>
    <w:p w:rsidR="00132B46" w:rsidRDefault="00132B46" w:rsidP="00132B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Розмір надходжень коштів для відновлення зелених насаджень.</w:t>
      </w:r>
    </w:p>
    <w:p w:rsidR="00132B46" w:rsidRDefault="00132B46" w:rsidP="00132B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2B46" w:rsidRPr="00132B46" w:rsidRDefault="00132B46" w:rsidP="00132B4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B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132B46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132B46" w:rsidRPr="00132B46" w:rsidRDefault="00132B46" w:rsidP="00132B46">
      <w:pPr>
        <w:pStyle w:val="a3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B46">
        <w:rPr>
          <w:rFonts w:ascii="Times New Roman" w:hAnsi="Times New Roman" w:cs="Times New Roman"/>
          <w:sz w:val="28"/>
          <w:szCs w:val="28"/>
          <w:lang w:val="uk-UA"/>
        </w:rPr>
        <w:t xml:space="preserve">Заходи щодо відстеження результативності регуляторного </w:t>
      </w:r>
      <w:proofErr w:type="spellStart"/>
      <w:r w:rsidRPr="00132B4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32B46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управлінням комунального господарства та будівництва Павлоградської міської ради.</w:t>
      </w:r>
    </w:p>
    <w:p w:rsidR="00132B46" w:rsidRPr="00132B46" w:rsidRDefault="00132B46" w:rsidP="00132B46">
      <w:pPr>
        <w:pStyle w:val="a3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B46">
        <w:rPr>
          <w:rFonts w:ascii="Times New Roman" w:hAnsi="Times New Roman" w:cs="Times New Roman"/>
          <w:sz w:val="28"/>
          <w:szCs w:val="28"/>
          <w:lang w:val="uk-UA"/>
        </w:rPr>
        <w:tab/>
        <w:t>Для відстеження будуть використовуватись статистичні дані управління комунального господарства та будівництва Павлоградської міської ради та фінансового управління Павлоградської міської ради за відповідний період, що передує даті початку виконання заходів з відстеження.</w:t>
      </w:r>
    </w:p>
    <w:p w:rsidR="00132B46" w:rsidRPr="00132B46" w:rsidRDefault="00132B46" w:rsidP="00132B46">
      <w:pPr>
        <w:pStyle w:val="a3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B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Відносно регуляторного </w:t>
      </w:r>
      <w:proofErr w:type="spellStart"/>
      <w:r w:rsidRPr="00132B4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32B46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здійснюватиметься базове, повторне та періодичне відстеження його результативності.</w:t>
      </w:r>
    </w:p>
    <w:p w:rsidR="00132B46" w:rsidRPr="00132B46" w:rsidRDefault="00132B46" w:rsidP="00132B46">
      <w:pPr>
        <w:pStyle w:val="a3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B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Базове відстеження результативності дії регуляторного </w:t>
      </w:r>
      <w:proofErr w:type="spellStart"/>
      <w:r w:rsidRPr="00132B4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32B46">
        <w:rPr>
          <w:rFonts w:ascii="Times New Roman" w:hAnsi="Times New Roman" w:cs="Times New Roman"/>
          <w:sz w:val="28"/>
          <w:szCs w:val="28"/>
          <w:lang w:val="uk-UA"/>
        </w:rPr>
        <w:t xml:space="preserve"> буде проведене одразу після набрання чинності регуляторним актом.</w:t>
      </w:r>
    </w:p>
    <w:p w:rsidR="00132B46" w:rsidRPr="00132B46" w:rsidRDefault="00132B46" w:rsidP="00132B46">
      <w:pPr>
        <w:pStyle w:val="a3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B46">
        <w:rPr>
          <w:rFonts w:ascii="Times New Roman" w:hAnsi="Times New Roman" w:cs="Times New Roman"/>
          <w:sz w:val="28"/>
          <w:szCs w:val="28"/>
          <w:lang w:val="uk-UA"/>
        </w:rPr>
        <w:tab/>
        <w:t>Повторне відстеження планується провести через рік після набуття чинності регуляторного акту.</w:t>
      </w:r>
    </w:p>
    <w:p w:rsidR="00132B46" w:rsidRPr="00132B46" w:rsidRDefault="00132B46" w:rsidP="00132B46">
      <w:pPr>
        <w:pStyle w:val="a3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B46">
        <w:rPr>
          <w:rFonts w:ascii="Times New Roman" w:hAnsi="Times New Roman" w:cs="Times New Roman"/>
          <w:sz w:val="28"/>
          <w:szCs w:val="28"/>
          <w:lang w:val="uk-UA"/>
        </w:rPr>
        <w:tab/>
        <w:t>Періодичне відстеження планується проводити один раз на три роки, починаючи від дня закінчення заходів з повторного відстеження результативності.</w:t>
      </w:r>
    </w:p>
    <w:p w:rsidR="00132B46" w:rsidRPr="00132B46" w:rsidRDefault="00132B46" w:rsidP="00132B46">
      <w:pPr>
        <w:pStyle w:val="a3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B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результатами проведення </w:t>
      </w:r>
      <w:proofErr w:type="spellStart"/>
      <w:r w:rsidRPr="00132B46">
        <w:rPr>
          <w:rFonts w:ascii="Times New Roman" w:hAnsi="Times New Roman" w:cs="Times New Roman"/>
          <w:sz w:val="28"/>
          <w:szCs w:val="28"/>
          <w:lang w:val="uk-UA"/>
        </w:rPr>
        <w:t>відстежень</w:t>
      </w:r>
      <w:proofErr w:type="spellEnd"/>
      <w:r w:rsidRPr="00132B46">
        <w:rPr>
          <w:rFonts w:ascii="Times New Roman" w:hAnsi="Times New Roman" w:cs="Times New Roman"/>
          <w:sz w:val="28"/>
          <w:szCs w:val="28"/>
          <w:lang w:val="uk-UA"/>
        </w:rPr>
        <w:t xml:space="preserve"> буде можливо порівняти показники результативності дії регуляторного </w:t>
      </w:r>
      <w:proofErr w:type="spellStart"/>
      <w:r w:rsidRPr="00132B4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32B46">
        <w:rPr>
          <w:rFonts w:ascii="Times New Roman" w:hAnsi="Times New Roman" w:cs="Times New Roman"/>
          <w:sz w:val="28"/>
          <w:szCs w:val="28"/>
          <w:lang w:val="uk-UA"/>
        </w:rPr>
        <w:t xml:space="preserve">. У разі виявлення неврегульованих та проблемних питань, вони будуть усунені шляхом внесення відповідних змін до регуляторного </w:t>
      </w:r>
      <w:proofErr w:type="spellStart"/>
      <w:r w:rsidRPr="00132B46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32B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2B46" w:rsidRDefault="00132B46" w:rsidP="00132B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3E33" w:rsidRDefault="00913E33" w:rsidP="00132B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3E33" w:rsidRPr="00132B46" w:rsidRDefault="00913E33" w:rsidP="00132B4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42D5D" w:rsidRPr="00242D5D" w:rsidRDefault="00242D5D" w:rsidP="00A73FA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D5D">
        <w:rPr>
          <w:rFonts w:ascii="Times New Roman" w:hAnsi="Times New Roman" w:cs="Times New Roman"/>
          <w:b/>
          <w:sz w:val="28"/>
          <w:szCs w:val="28"/>
        </w:rPr>
        <w:lastRenderedPageBreak/>
        <w:t>Розробник</w:t>
      </w:r>
      <w:proofErr w:type="spellEnd"/>
      <w:r w:rsidRPr="00242D5D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242D5D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242D5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42D5D">
        <w:rPr>
          <w:rFonts w:ascii="Times New Roman" w:hAnsi="Times New Roman" w:cs="Times New Roman"/>
          <w:b/>
          <w:sz w:val="28"/>
          <w:szCs w:val="28"/>
        </w:rPr>
        <w:t>аналізу</w:t>
      </w:r>
      <w:proofErr w:type="spellEnd"/>
      <w:r w:rsidRPr="00242D5D">
        <w:rPr>
          <w:rFonts w:ascii="Times New Roman" w:hAnsi="Times New Roman" w:cs="Times New Roman"/>
          <w:b/>
          <w:sz w:val="28"/>
          <w:szCs w:val="28"/>
        </w:rPr>
        <w:t xml:space="preserve"> регуляторного </w:t>
      </w:r>
      <w:proofErr w:type="spellStart"/>
      <w:r w:rsidRPr="00242D5D">
        <w:rPr>
          <w:rFonts w:ascii="Times New Roman" w:hAnsi="Times New Roman" w:cs="Times New Roman"/>
          <w:b/>
          <w:sz w:val="28"/>
          <w:szCs w:val="28"/>
        </w:rPr>
        <w:t>впливу</w:t>
      </w:r>
      <w:proofErr w:type="spellEnd"/>
      <w:r w:rsidRPr="00242D5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242D5D">
        <w:rPr>
          <w:rFonts w:ascii="Times New Roman" w:hAnsi="Times New Roman" w:cs="Times New Roman"/>
          <w:b/>
          <w:sz w:val="28"/>
          <w:szCs w:val="28"/>
        </w:rPr>
        <w:t>нього</w:t>
      </w:r>
      <w:proofErr w:type="spellEnd"/>
      <w:r w:rsidRPr="00242D5D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комунального господарства Павлоградської міської ради.</w:t>
      </w:r>
    </w:p>
    <w:p w:rsidR="00242D5D" w:rsidRPr="00242D5D" w:rsidRDefault="00242D5D" w:rsidP="00242D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Зворотній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зв'язок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2D5D" w:rsidRPr="00242D5D" w:rsidRDefault="00242D5D" w:rsidP="00242D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D5D">
        <w:rPr>
          <w:rFonts w:ascii="Times New Roman" w:hAnsi="Times New Roman" w:cs="Times New Roman"/>
          <w:b/>
          <w:sz w:val="28"/>
          <w:szCs w:val="28"/>
        </w:rPr>
        <w:t xml:space="preserve">Адреса: </w:t>
      </w:r>
      <w:r w:rsidRPr="00242D5D">
        <w:rPr>
          <w:rFonts w:ascii="Times New Roman" w:hAnsi="Times New Roman" w:cs="Times New Roman"/>
          <w:b/>
          <w:sz w:val="28"/>
          <w:szCs w:val="28"/>
          <w:lang w:val="uk-UA"/>
        </w:rPr>
        <w:t>51400, вул. Соборна, 115 (4 поверх), м. Павлоград</w:t>
      </w:r>
    </w:p>
    <w:p w:rsidR="00242D5D" w:rsidRPr="00242D5D" w:rsidRDefault="00242D5D" w:rsidP="00242D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D5D">
        <w:rPr>
          <w:rFonts w:ascii="Times New Roman" w:hAnsi="Times New Roman" w:cs="Times New Roman"/>
          <w:sz w:val="28"/>
          <w:szCs w:val="28"/>
          <w:lang w:val="uk-UA"/>
        </w:rPr>
        <w:t>Завгородній</w:t>
      </w:r>
      <w:proofErr w:type="spellEnd"/>
      <w:r w:rsidRPr="00242D5D">
        <w:rPr>
          <w:rFonts w:ascii="Times New Roman" w:hAnsi="Times New Roman" w:cs="Times New Roman"/>
          <w:sz w:val="28"/>
          <w:szCs w:val="28"/>
          <w:lang w:val="uk-UA"/>
        </w:rPr>
        <w:t xml:space="preserve"> Андрій Юрійович</w:t>
      </w:r>
      <w:r w:rsidRPr="00242D5D">
        <w:rPr>
          <w:rFonts w:ascii="Times New Roman" w:hAnsi="Times New Roman" w:cs="Times New Roman"/>
          <w:sz w:val="28"/>
          <w:szCs w:val="28"/>
        </w:rPr>
        <w:t xml:space="preserve">– начальник </w:t>
      </w:r>
      <w:proofErr w:type="spellStart"/>
      <w:r w:rsidRPr="00242D5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42D5D">
        <w:rPr>
          <w:rFonts w:ascii="Times New Roman" w:hAnsi="Times New Roman" w:cs="Times New Roman"/>
          <w:sz w:val="28"/>
          <w:szCs w:val="28"/>
        </w:rPr>
        <w:t xml:space="preserve"> </w:t>
      </w:r>
      <w:r w:rsidRPr="00242D5D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 та будівництва Павлоградської міської ради</w:t>
      </w:r>
    </w:p>
    <w:p w:rsidR="00242D5D" w:rsidRPr="00242D5D" w:rsidRDefault="00242D5D" w:rsidP="00242D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D5D">
        <w:rPr>
          <w:rFonts w:ascii="Times New Roman" w:hAnsi="Times New Roman" w:cs="Times New Roman"/>
          <w:b/>
          <w:sz w:val="28"/>
          <w:szCs w:val="28"/>
        </w:rPr>
        <w:t>Телефон: (05</w:t>
      </w:r>
      <w:r w:rsidRPr="00242D5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42D5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42D5D">
        <w:rPr>
          <w:rFonts w:ascii="Times New Roman" w:hAnsi="Times New Roman" w:cs="Times New Roman"/>
          <w:b/>
          <w:sz w:val="28"/>
          <w:szCs w:val="28"/>
          <w:lang w:val="uk-UA"/>
        </w:rPr>
        <w:t>880 72 98, (050) 880 23 88.</w:t>
      </w:r>
    </w:p>
    <w:p w:rsidR="00242D5D" w:rsidRPr="00242D5D" w:rsidRDefault="00242D5D" w:rsidP="00242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2D5D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242D5D">
        <w:rPr>
          <w:rFonts w:ascii="Times New Roman" w:hAnsi="Times New Roman" w:cs="Times New Roman"/>
          <w:sz w:val="28"/>
          <w:szCs w:val="28"/>
        </w:rPr>
        <w:t xml:space="preserve"> адреса: </w:t>
      </w:r>
      <w:proofErr w:type="spellStart"/>
      <w:r w:rsidRPr="00242D5D">
        <w:rPr>
          <w:rFonts w:ascii="Times New Roman" w:hAnsi="Times New Roman" w:cs="Times New Roman"/>
          <w:sz w:val="28"/>
          <w:szCs w:val="28"/>
          <w:lang w:val="en-US"/>
        </w:rPr>
        <w:t>ukgtabpavlograd</w:t>
      </w:r>
      <w:proofErr w:type="spellEnd"/>
      <w:r w:rsidRPr="00242D5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42D5D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42D5D">
        <w:rPr>
          <w:rFonts w:ascii="Times New Roman" w:hAnsi="Times New Roman" w:cs="Times New Roman"/>
          <w:sz w:val="28"/>
          <w:szCs w:val="28"/>
        </w:rPr>
        <w:t>.</w:t>
      </w:r>
      <w:r w:rsidRPr="00242D5D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CF07D5" w:rsidRPr="00242D5D" w:rsidRDefault="00CF07D5" w:rsidP="00CF0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07D5" w:rsidRDefault="00CF07D5" w:rsidP="00CF0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7D5" w:rsidRPr="00A73D50" w:rsidRDefault="00CF07D5" w:rsidP="00CF07D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73D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</w:t>
      </w:r>
    </w:p>
    <w:p w:rsidR="00CF07D5" w:rsidRDefault="00CF07D5" w:rsidP="00CF07D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73D50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 та будівництва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42D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D5D">
        <w:rPr>
          <w:rFonts w:ascii="Times New Roman" w:hAnsi="Times New Roman" w:cs="Times New Roman"/>
          <w:sz w:val="28"/>
          <w:szCs w:val="28"/>
          <w:lang w:val="uk-UA"/>
        </w:rPr>
        <w:t>Андрій ЗАВГОРОДНІЙ</w:t>
      </w:r>
    </w:p>
    <w:p w:rsidR="00CF07D5" w:rsidRDefault="00CF07D5" w:rsidP="00CF0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7D5" w:rsidRDefault="00CF07D5" w:rsidP="00CF0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7D5" w:rsidRDefault="00CF07D5" w:rsidP="00CF0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7D5" w:rsidRDefault="00CF07D5" w:rsidP="00CF0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CF07D5" w:rsidRDefault="00284702" w:rsidP="00CF07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07D5">
        <w:rPr>
          <w:rFonts w:ascii="Times New Roman" w:hAnsi="Times New Roman" w:cs="Times New Roman"/>
          <w:sz w:val="28"/>
          <w:szCs w:val="28"/>
          <w:lang w:val="uk-UA"/>
        </w:rPr>
        <w:t>ерши</w:t>
      </w:r>
      <w:r w:rsidR="00242D5D">
        <w:rPr>
          <w:rFonts w:ascii="Times New Roman" w:hAnsi="Times New Roman" w:cs="Times New Roman"/>
          <w:sz w:val="28"/>
          <w:szCs w:val="28"/>
          <w:lang w:val="uk-UA"/>
        </w:rPr>
        <w:t>й заступник міського голови</w:t>
      </w:r>
      <w:r w:rsidR="00242D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D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Олександр РАДІОНОВ</w:t>
      </w:r>
    </w:p>
    <w:p w:rsidR="00C55F72" w:rsidRDefault="00C55F72"/>
    <w:sectPr w:rsidR="00C55F72" w:rsidSect="000810D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70" w:rsidRDefault="00F53870">
      <w:pPr>
        <w:spacing w:after="0" w:line="240" w:lineRule="auto"/>
      </w:pPr>
      <w:r>
        <w:separator/>
      </w:r>
    </w:p>
  </w:endnote>
  <w:endnote w:type="continuationSeparator" w:id="0">
    <w:p w:rsidR="00F53870" w:rsidRDefault="00F5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70" w:rsidRDefault="00F53870">
      <w:pPr>
        <w:spacing w:after="0" w:line="240" w:lineRule="auto"/>
      </w:pPr>
      <w:r>
        <w:separator/>
      </w:r>
    </w:p>
  </w:footnote>
  <w:footnote w:type="continuationSeparator" w:id="0">
    <w:p w:rsidR="00F53870" w:rsidRDefault="00F5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16313"/>
      <w:docPartObj>
        <w:docPartGallery w:val="Page Numbers (Top of Page)"/>
        <w:docPartUnique/>
      </w:docPartObj>
    </w:sdtPr>
    <w:sdtEndPr/>
    <w:sdtContent>
      <w:p w:rsidR="000810D8" w:rsidRDefault="00242D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E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10D8" w:rsidRDefault="00F538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FB9"/>
    <w:multiLevelType w:val="hybridMultilevel"/>
    <w:tmpl w:val="39DC3760"/>
    <w:lvl w:ilvl="0" w:tplc="1BF4DA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41D"/>
    <w:multiLevelType w:val="hybridMultilevel"/>
    <w:tmpl w:val="89422876"/>
    <w:lvl w:ilvl="0" w:tplc="9A4CCD5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BAA0402"/>
    <w:multiLevelType w:val="hybridMultilevel"/>
    <w:tmpl w:val="D08E6518"/>
    <w:lvl w:ilvl="0" w:tplc="95AC6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8E19C4"/>
    <w:multiLevelType w:val="hybridMultilevel"/>
    <w:tmpl w:val="5618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E3569"/>
    <w:multiLevelType w:val="hybridMultilevel"/>
    <w:tmpl w:val="2146E7A8"/>
    <w:lvl w:ilvl="0" w:tplc="96A26A5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194327"/>
    <w:multiLevelType w:val="hybridMultilevel"/>
    <w:tmpl w:val="6C3CB7D2"/>
    <w:lvl w:ilvl="0" w:tplc="6CAC8E6C">
      <w:start w:val="5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6D5951"/>
    <w:multiLevelType w:val="hybridMultilevel"/>
    <w:tmpl w:val="87B4A9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C"/>
    <w:rsid w:val="0005012C"/>
    <w:rsid w:val="000F4C5D"/>
    <w:rsid w:val="00132B46"/>
    <w:rsid w:val="0018172F"/>
    <w:rsid w:val="00242D5D"/>
    <w:rsid w:val="00284702"/>
    <w:rsid w:val="002B40CC"/>
    <w:rsid w:val="00331495"/>
    <w:rsid w:val="003D01B0"/>
    <w:rsid w:val="004605A5"/>
    <w:rsid w:val="00491672"/>
    <w:rsid w:val="004F064F"/>
    <w:rsid w:val="005449D4"/>
    <w:rsid w:val="005A6098"/>
    <w:rsid w:val="005D2685"/>
    <w:rsid w:val="007244B5"/>
    <w:rsid w:val="007517C4"/>
    <w:rsid w:val="00753939"/>
    <w:rsid w:val="007C1B7F"/>
    <w:rsid w:val="008A3D67"/>
    <w:rsid w:val="00913E33"/>
    <w:rsid w:val="009210F9"/>
    <w:rsid w:val="00A6167F"/>
    <w:rsid w:val="00A73FA0"/>
    <w:rsid w:val="00AB34D6"/>
    <w:rsid w:val="00B02AEC"/>
    <w:rsid w:val="00B35FCC"/>
    <w:rsid w:val="00B71F40"/>
    <w:rsid w:val="00C241FE"/>
    <w:rsid w:val="00C55F72"/>
    <w:rsid w:val="00C671A6"/>
    <w:rsid w:val="00C815E2"/>
    <w:rsid w:val="00CF07D5"/>
    <w:rsid w:val="00D90E3D"/>
    <w:rsid w:val="00EB771C"/>
    <w:rsid w:val="00F53870"/>
    <w:rsid w:val="00F646FD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4061"/>
  <w15:chartTrackingRefBased/>
  <w15:docId w15:val="{68C1AEA6-A3DC-43CE-A0C7-4C1AD39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D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D5"/>
    <w:pPr>
      <w:ind w:left="720"/>
      <w:contextualSpacing/>
    </w:pPr>
  </w:style>
  <w:style w:type="table" w:styleId="a4">
    <w:name w:val="Table Grid"/>
    <w:basedOn w:val="a1"/>
    <w:uiPriority w:val="59"/>
    <w:rsid w:val="00CF07D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F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F07D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8159</Words>
  <Characters>4652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Н.С. Ердін</cp:lastModifiedBy>
  <cp:revision>8</cp:revision>
  <dcterms:created xsi:type="dcterms:W3CDTF">2025-01-02T07:17:00Z</dcterms:created>
  <dcterms:modified xsi:type="dcterms:W3CDTF">2025-01-13T07:02:00Z</dcterms:modified>
</cp:coreProperties>
</file>