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рішення </w:t>
      </w:r>
      <w:r>
        <w:rPr>
          <w:rFonts w:ascii="Times New Roman" w:hAnsi="Times New Roman"/>
          <w:sz w:val="28"/>
          <w:szCs w:val="28"/>
          <w:lang w:val="uk-UA"/>
        </w:rPr>
        <w:t>виконкому</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Pr>
          <w:rFonts w:ascii="Times New Roman" w:hAnsi="Times New Roman"/>
          <w:sz w:val="28"/>
          <w:szCs w:val="28"/>
          <w:lang w:val="uk-UA"/>
        </w:rPr>
        <w:t>«___» _______</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 xml:space="preserve"> №</w:t>
      </w:r>
      <w:r>
        <w:rPr>
          <w:rFonts w:ascii="Times New Roman" w:hAnsi="Times New Roman"/>
          <w:sz w:val="28"/>
          <w:szCs w:val="28"/>
          <w:lang w:val="uk-UA"/>
        </w:rPr>
        <w:t xml:space="preserve"> _______-61/</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 xml:space="preserve">Здоров’я </w:t>
      </w:r>
      <w:proofErr w:type="spellStart"/>
      <w:r w:rsidRPr="00AE40BD">
        <w:rPr>
          <w:rFonts w:ascii="Times New Roman" w:hAnsi="Times New Roman"/>
          <w:sz w:val="28"/>
          <w:szCs w:val="28"/>
          <w:lang w:val="uk-UA"/>
        </w:rPr>
        <w:t>павлоградців</w:t>
      </w:r>
      <w:proofErr w:type="spellEnd"/>
      <w:r w:rsidRPr="00AE40BD">
        <w:rPr>
          <w:rFonts w:ascii="Times New Roman" w:hAnsi="Times New Roman"/>
          <w:sz w:val="28"/>
          <w:szCs w:val="28"/>
          <w:lang w:val="uk-UA"/>
        </w:rPr>
        <w:t xml:space="preserve"> на 202</w:t>
      </w:r>
      <w:r>
        <w:rPr>
          <w:rFonts w:ascii="Times New Roman" w:hAnsi="Times New Roman"/>
          <w:sz w:val="28"/>
          <w:szCs w:val="28"/>
          <w:lang w:val="uk-UA"/>
        </w:rPr>
        <w:t>3</w:t>
      </w:r>
      <w:r w:rsidRPr="00AE40BD">
        <w:rPr>
          <w:rFonts w:ascii="Times New Roman" w:hAnsi="Times New Roman"/>
          <w:sz w:val="28"/>
          <w:szCs w:val="28"/>
          <w:lang w:val="uk-UA"/>
        </w:rPr>
        <w:t>-202</w:t>
      </w:r>
      <w:r>
        <w:rPr>
          <w:rFonts w:ascii="Times New Roman" w:hAnsi="Times New Roman"/>
          <w:sz w:val="28"/>
          <w:szCs w:val="28"/>
          <w:lang w:val="uk-UA"/>
        </w:rPr>
        <w:t>5</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Замовник: відділ охорони здоров’я </w:t>
      </w:r>
      <w:proofErr w:type="spellStart"/>
      <w:r>
        <w:rPr>
          <w:rFonts w:ascii="Times New Roman" w:hAnsi="Times New Roman"/>
          <w:sz w:val="28"/>
          <w:szCs w:val="28"/>
          <w:lang w:val="uk-UA"/>
        </w:rPr>
        <w:t>Павлоградської</w:t>
      </w:r>
      <w:proofErr w:type="spellEnd"/>
      <w:r>
        <w:rPr>
          <w:rFonts w:ascii="Times New Roman" w:hAnsi="Times New Roman"/>
          <w:sz w:val="28"/>
          <w:szCs w:val="28"/>
          <w:lang w:val="uk-UA"/>
        </w:rPr>
        <w:t xml:space="preserve">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 xml:space="preserve">Відповідальні за виконання: відділ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фінансове управління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комунальні некомерційні підприємства підпорядковані відділу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Pr>
          <w:rFonts w:ascii="Times New Roman" w:hAnsi="Times New Roman"/>
          <w:sz w:val="28"/>
          <w:szCs w:val="28"/>
          <w:lang w:val="uk-UA"/>
        </w:rPr>
        <w:t>3</w:t>
      </w:r>
      <w:r w:rsidRPr="0049350E">
        <w:rPr>
          <w:rFonts w:ascii="Times New Roman" w:hAnsi="Times New Roman"/>
          <w:sz w:val="28"/>
          <w:szCs w:val="28"/>
          <w:lang w:val="uk-UA"/>
        </w:rPr>
        <w:t xml:space="preserve"> рік, закінчення: 202</w:t>
      </w:r>
      <w:r>
        <w:rPr>
          <w:rFonts w:ascii="Times New Roman" w:hAnsi="Times New Roman"/>
          <w:sz w:val="28"/>
          <w:szCs w:val="28"/>
          <w:lang w:val="uk-UA"/>
        </w:rPr>
        <w:t>5</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319 208 731,18</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96 885 456</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84 735 824,18</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137 587 451</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320 527 188,18</w:t>
            </w:r>
          </w:p>
        </w:tc>
        <w:tc>
          <w:tcPr>
            <w:tcW w:w="1984"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97 946 213</w:t>
            </w:r>
          </w:p>
        </w:tc>
        <w:tc>
          <w:tcPr>
            <w:tcW w:w="2127"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84 993 524,18</w:t>
            </w:r>
          </w:p>
        </w:tc>
        <w:tc>
          <w:tcPr>
            <w:tcW w:w="2709"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137 587 451</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 рік</w:t>
            </w: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18012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3075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2856</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Охоплення 95% дитячого населення профілактичним оглядом на туберкульоз.</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15</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D66AD7"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59</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пацієнта.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674F68"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виписаних рецептів на відшкодування вартості лікарських засобів пільговій категорії населення</w:t>
            </w:r>
          </w:p>
          <w:p w:rsidR="003A7109" w:rsidRPr="00D66AD7" w:rsidRDefault="003A7109"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1850</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1945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2325</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пільгової категорії населення міста.</w:t>
            </w:r>
          </w:p>
        </w:tc>
      </w:tr>
      <w:tr w:rsidR="003A7109" w:rsidRPr="00674F68"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слухові апарати та підгузки)</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183</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203</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674F68"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60</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85</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129</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160</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4</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 xml:space="preserve">Оцінка очікуваних результатів здійснюється відділом охорони здоров’я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Інформація  про результати оцінки Програми розміщується після прийняття рішення виконавчого комітету на офіційному сайті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974B98" w:rsidRDefault="003A7109" w:rsidP="007F14D3">
      <w:pPr>
        <w:spacing w:after="0" w:line="240" w:lineRule="auto"/>
        <w:ind w:firstLine="709"/>
        <w:rPr>
          <w:rFonts w:ascii="Times New Roman" w:hAnsi="Times New Roman"/>
          <w:sz w:val="28"/>
          <w:szCs w:val="28"/>
          <w:lang w:val="uk-UA"/>
        </w:rPr>
      </w:pPr>
      <w:r>
        <w:rPr>
          <w:rFonts w:ascii="Times New Roman" w:hAnsi="Times New Roman"/>
          <w:sz w:val="28"/>
          <w:szCs w:val="28"/>
          <w:lang w:val="uk-UA"/>
        </w:rPr>
        <w:t>Начальник відділу охорони здоров’я</w:t>
      </w:r>
      <w:r w:rsidRPr="0049350E">
        <w:rPr>
          <w:rFonts w:ascii="Times New Roman" w:hAnsi="Times New Roman"/>
          <w:sz w:val="28"/>
          <w:szCs w:val="28"/>
          <w:lang w:val="uk-UA"/>
        </w:rPr>
        <w:t xml:space="preserve">                                                                                               </w:t>
      </w:r>
      <w:r>
        <w:rPr>
          <w:rFonts w:ascii="Times New Roman" w:hAnsi="Times New Roman"/>
          <w:sz w:val="28"/>
          <w:szCs w:val="28"/>
          <w:lang w:val="uk-UA"/>
        </w:rPr>
        <w:t xml:space="preserve">      Юлія ДЕЙНЕЖЕНКО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15B8D"/>
    <w:rsid w:val="00064D18"/>
    <w:rsid w:val="000836C9"/>
    <w:rsid w:val="00094471"/>
    <w:rsid w:val="00097E4F"/>
    <w:rsid w:val="000C1D8C"/>
    <w:rsid w:val="000C2BE7"/>
    <w:rsid w:val="000E53B6"/>
    <w:rsid w:val="000F363D"/>
    <w:rsid w:val="0012115D"/>
    <w:rsid w:val="00122126"/>
    <w:rsid w:val="00140687"/>
    <w:rsid w:val="001516F5"/>
    <w:rsid w:val="0016550E"/>
    <w:rsid w:val="00173728"/>
    <w:rsid w:val="00183857"/>
    <w:rsid w:val="00183B7A"/>
    <w:rsid w:val="001C4420"/>
    <w:rsid w:val="001C7731"/>
    <w:rsid w:val="001D1472"/>
    <w:rsid w:val="001D64CE"/>
    <w:rsid w:val="002020DF"/>
    <w:rsid w:val="00211603"/>
    <w:rsid w:val="002152B1"/>
    <w:rsid w:val="00256DAB"/>
    <w:rsid w:val="00264C03"/>
    <w:rsid w:val="00265115"/>
    <w:rsid w:val="002821F9"/>
    <w:rsid w:val="002A178E"/>
    <w:rsid w:val="002D42AD"/>
    <w:rsid w:val="00301B78"/>
    <w:rsid w:val="00360C1B"/>
    <w:rsid w:val="003769C1"/>
    <w:rsid w:val="00393767"/>
    <w:rsid w:val="003A7109"/>
    <w:rsid w:val="003A7CB2"/>
    <w:rsid w:val="003B59CE"/>
    <w:rsid w:val="003D1BF3"/>
    <w:rsid w:val="003E6972"/>
    <w:rsid w:val="003E6B29"/>
    <w:rsid w:val="00410BED"/>
    <w:rsid w:val="00436BDA"/>
    <w:rsid w:val="004718CF"/>
    <w:rsid w:val="004833EB"/>
    <w:rsid w:val="004909EF"/>
    <w:rsid w:val="0049350E"/>
    <w:rsid w:val="004968F8"/>
    <w:rsid w:val="004E1367"/>
    <w:rsid w:val="004F0864"/>
    <w:rsid w:val="0050183F"/>
    <w:rsid w:val="0052678E"/>
    <w:rsid w:val="005308FA"/>
    <w:rsid w:val="005431C8"/>
    <w:rsid w:val="00550ABF"/>
    <w:rsid w:val="00593CB0"/>
    <w:rsid w:val="005A5AF8"/>
    <w:rsid w:val="005D3061"/>
    <w:rsid w:val="005F4844"/>
    <w:rsid w:val="006012C8"/>
    <w:rsid w:val="00672243"/>
    <w:rsid w:val="00674F68"/>
    <w:rsid w:val="006D3406"/>
    <w:rsid w:val="006D4E12"/>
    <w:rsid w:val="006F155C"/>
    <w:rsid w:val="00704A06"/>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93152B"/>
    <w:rsid w:val="0093177B"/>
    <w:rsid w:val="00961E90"/>
    <w:rsid w:val="00972E5A"/>
    <w:rsid w:val="00974B98"/>
    <w:rsid w:val="00974EF9"/>
    <w:rsid w:val="009C327A"/>
    <w:rsid w:val="009D1F19"/>
    <w:rsid w:val="009E0D2C"/>
    <w:rsid w:val="009E2083"/>
    <w:rsid w:val="009E77F5"/>
    <w:rsid w:val="009E7F47"/>
    <w:rsid w:val="009F717B"/>
    <w:rsid w:val="00A436B2"/>
    <w:rsid w:val="00A53AEB"/>
    <w:rsid w:val="00A540EC"/>
    <w:rsid w:val="00A629CE"/>
    <w:rsid w:val="00A949A7"/>
    <w:rsid w:val="00A97F94"/>
    <w:rsid w:val="00AA2405"/>
    <w:rsid w:val="00AA4F3C"/>
    <w:rsid w:val="00AA6095"/>
    <w:rsid w:val="00AC1760"/>
    <w:rsid w:val="00AE40BD"/>
    <w:rsid w:val="00AE58AB"/>
    <w:rsid w:val="00AF615C"/>
    <w:rsid w:val="00B2240F"/>
    <w:rsid w:val="00B364D9"/>
    <w:rsid w:val="00B44398"/>
    <w:rsid w:val="00B64509"/>
    <w:rsid w:val="00B75D65"/>
    <w:rsid w:val="00B97908"/>
    <w:rsid w:val="00BA7525"/>
    <w:rsid w:val="00BB0BB6"/>
    <w:rsid w:val="00BB7B58"/>
    <w:rsid w:val="00BD10C8"/>
    <w:rsid w:val="00BE29B3"/>
    <w:rsid w:val="00BE629F"/>
    <w:rsid w:val="00BF1E16"/>
    <w:rsid w:val="00C244D0"/>
    <w:rsid w:val="00C72D88"/>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13001"/>
    <w:rsid w:val="00E21E8E"/>
    <w:rsid w:val="00E442F2"/>
    <w:rsid w:val="00E56558"/>
    <w:rsid w:val="00E6489B"/>
    <w:rsid w:val="00EA319B"/>
    <w:rsid w:val="00ED0180"/>
    <w:rsid w:val="00ED1968"/>
    <w:rsid w:val="00ED58D5"/>
    <w:rsid w:val="00F02DCB"/>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1013</TotalTime>
  <Pages>3</Pages>
  <Words>3223</Words>
  <Characters>1838</Characters>
  <Application>Microsoft Office Word</Application>
  <DocSecurity>0</DocSecurity>
  <Lines>15</Lines>
  <Paragraphs>10</Paragraphs>
  <ScaleCrop>false</ScaleCrop>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115</cp:revision>
  <cp:lastPrinted>2025-02-25T09:06:00Z</cp:lastPrinted>
  <dcterms:created xsi:type="dcterms:W3CDTF">2019-08-13T08:15:00Z</dcterms:created>
  <dcterms:modified xsi:type="dcterms:W3CDTF">2025-02-25T11:22:00Z</dcterms:modified>
</cp:coreProperties>
</file>