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ЗАТВЕРДЖЕННО</w:t>
      </w:r>
    </w:p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Рішення виконкому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міської ради</w:t>
      </w:r>
    </w:p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від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29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.</w:t>
      </w:r>
      <w:r w:rsidR="005F6C22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08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.202</w:t>
      </w:r>
      <w:r w:rsidR="005F6C22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5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 № </w:t>
      </w:r>
      <w:r w:rsidR="005F6C22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1585/0/3-25</w:t>
      </w:r>
    </w:p>
    <w:p w:rsidR="00562E46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(в редакції рішення </w:t>
      </w:r>
    </w:p>
    <w:p w:rsidR="00A93731" w:rsidRPr="00A93731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виконкому </w:t>
      </w:r>
      <w:r w:rsidR="00562E46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міської ради</w:t>
      </w:r>
    </w:p>
    <w:p w:rsidR="007B5A1B" w:rsidRPr="007C68F7" w:rsidRDefault="00A93731" w:rsidP="00A93731">
      <w:pPr>
        <w:spacing w:after="0" w:line="240" w:lineRule="auto"/>
        <w:ind w:left="648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Pr="00562E46">
        <w:rPr>
          <w:rFonts w:ascii="Times New Roman" w:eastAsiaTheme="majorEastAsia" w:hAnsi="Times New Roman" w:cs="Times New Roman"/>
          <w:bCs/>
          <w:iCs/>
          <w:sz w:val="24"/>
          <w:szCs w:val="24"/>
          <w:u w:val="single"/>
          <w:lang w:val="uk-UA"/>
        </w:rPr>
        <w:t xml:space="preserve">                     </w:t>
      </w:r>
      <w:r w:rsidRPr="00A93731">
        <w:rPr>
          <w:rFonts w:ascii="Times New Roman" w:eastAsiaTheme="majorEastAsia" w:hAnsi="Times New Roman" w:cs="Times New Roman"/>
          <w:bCs/>
          <w:iCs/>
          <w:sz w:val="24"/>
          <w:szCs w:val="24"/>
          <w:lang w:val="uk-UA"/>
        </w:rPr>
        <w:t>№ __________)</w:t>
      </w:r>
    </w:p>
    <w:p w:rsidR="00A04C3F" w:rsidRPr="007C68F7" w:rsidRDefault="00A04C3F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7B1922" w:rsidRPr="007C68F7" w:rsidRDefault="007B1922" w:rsidP="00B13F3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A04C3F" w:rsidRPr="007C68F7" w:rsidRDefault="00A04C3F" w:rsidP="00A04C3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Середньостроковий план пріоритетних публічних інвестицій </w:t>
      </w:r>
    </w:p>
    <w:p w:rsidR="00976DE8" w:rsidRPr="007C68F7" w:rsidRDefault="00A04C3F" w:rsidP="00A04C3F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Павлоградської</w:t>
      </w:r>
      <w:proofErr w:type="spellEnd"/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2026-2028 роки</w:t>
      </w:r>
    </w:p>
    <w:p w:rsidR="00976DE8" w:rsidRPr="007C68F7" w:rsidRDefault="00976DE8" w:rsidP="00B13F33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976DE8" w:rsidRPr="007C68F7" w:rsidRDefault="00976DE8" w:rsidP="00132B5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1. Загальна характеристика плану</w:t>
      </w:r>
    </w:p>
    <w:p w:rsidR="00F777D7" w:rsidRPr="007C68F7" w:rsidRDefault="00976DE8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Середньостроковий план </w:t>
      </w:r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пріоритетних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публічних інвестицій </w:t>
      </w:r>
      <w:proofErr w:type="spellStart"/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територіальної громади на 2026-2028 роки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(далі — 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Середньостроковий п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лан) розроблено </w:t>
      </w:r>
      <w:r w:rsidR="00AD32C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керуючись </w:t>
      </w:r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Законом України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“Про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Україніˮ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Бюджетним кодексом України, постановами Кабінету Міністрів України від 28.02.2025 № 294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“Про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затвердження Порядку розроблення та моніторингу реалізації середньострокового плану пріоритетних публічних інвестицій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державиˮ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№ 232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“Деякі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питання розподілу публічних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інвестиційˮ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</w:t>
      </w:r>
      <w:r w:rsidR="008B4561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               </w:t>
      </w:r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“Про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реалізацію публічних інвестиційних </w:t>
      </w:r>
      <w:proofErr w:type="spellStart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проєктівˮ</w:t>
      </w:r>
      <w:proofErr w:type="spellEnd"/>
      <w:r w:rsidR="001011C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відповідно до листа Міністерства економіки, довкілля та сільського господарства України від 25.07.2025 № 3502-05/50224-06 щодо планування, підготовки та реалізації публічних інвестиційних проєктів і програм</w:t>
      </w:r>
      <w:r w:rsidR="000D4A0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Середньостроковий план формує основу для побудови ефективної та дієвої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системи управління публічними інвестиціями, що забезпечує оптимізацію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використання бюджетних ресурсів, підвищення прозорості у використанні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публічних коштів та інтеграцію публічних інвестицій у загальний процес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стратегічного планування, а також дозволяє зосередити ресурси на найбільш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важливих для суспільства публічних інвестиційних про</w:t>
      </w:r>
      <w:r w:rsidR="008B456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ктах (далі - про</w:t>
      </w:r>
      <w:r w:rsidR="008B456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кт) та</w:t>
      </w:r>
      <w:r w:rsidR="00CC4A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програмах публічних інвестицій (далі - програма).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Середньостроковий план визначає: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наскрізні стратегічні цілі здійснення публічних інвестицій;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пріоритетні галузі (сектори) для публічного інвестування;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основні напрями публічного інвестування, у тому числі за діючими</w:t>
      </w:r>
      <w:r w:rsidR="0087480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проєктами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програмами, цільові показники цих напрямів і відповідний орієнтовний розподіл коштів;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Сфера дії середньострокового плану включає публічні інвестиції, що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спрямовані на реалізацію про</w:t>
      </w:r>
      <w:r w:rsidR="006046B8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програм. Водночас не охоплює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компенсації за пошкодження та знищення окремих категорій об’єктів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нерухомого майна внаслідок бойових дій, терористичних актів, диверсій,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спричинених збройною агресією російської федерації проти України, а також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гранти, програми підтримки бізнесу, фінансування від міжнародних фінансових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організацій для приватного сектора та інші інструменти і форми підтримки</w:t>
      </w:r>
      <w:r w:rsidR="00FC3E6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бізнесу та громадян, які не є публічними інвестиціями у розумінні Бюджетного</w:t>
      </w:r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кодексу України.</w:t>
      </w:r>
    </w:p>
    <w:p w:rsidR="005E382B" w:rsidRPr="007C68F7" w:rsidRDefault="005E382B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5E382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Описова частина</w:t>
      </w:r>
    </w:p>
    <w:p w:rsidR="005E382B" w:rsidRPr="007C68F7" w:rsidRDefault="005E382B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Середньостроковий план розроблено </w:t>
      </w:r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відділом інвестицій, зовнішнього партнерства та регуляторної політики виконавчого комітету </w:t>
      </w:r>
      <w:proofErr w:type="spellStart"/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 підставі пропозицій</w:t>
      </w:r>
      <w:r w:rsidR="005E382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F25AA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відповідальних структурних підрозділів за галузі (сектори)</w:t>
      </w:r>
      <w:r w:rsidR="005D03A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відповідно до цілей </w:t>
      </w:r>
      <w:r w:rsidR="005F49D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завдань, визначених документами</w:t>
      </w:r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стратегічного планування, у межах орієнтовного граничного сукупного обсягу</w:t>
      </w:r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публічних інвестицій на середньостроковий період, доведеного </w:t>
      </w:r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фінансовим управлінням </w:t>
      </w:r>
      <w:proofErr w:type="spellStart"/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987A8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F49D0" w:rsidRPr="007C68F7" w:rsidRDefault="005F49D0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5F49D0" w:rsidRPr="007C68F7" w:rsidRDefault="00C4670F" w:rsidP="005F49D0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Наскрізні стратегічні цілі здійснення публічних інвестицій</w:t>
      </w:r>
    </w:p>
    <w:p w:rsidR="005F49D0" w:rsidRPr="007C68F7" w:rsidRDefault="005F49D0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Наскрізними стратегічними цілями здійснення публічних інвестицій (далі -</w:t>
      </w:r>
      <w:r w:rsidR="005F49D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наскрізні стратегічні цілі) є цілі, що мають міжгалузевий (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міжсекторальний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характер, відповідають пріоритетам розвитку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для досягнення яких об’єднують зусилля органи влади та фізичні і юридичні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особи, громадські об’єднання, інші суб’єкти, які можуть вплинути на процес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досягнення цілей та/або на яких можуть вплинути їх результати.</w:t>
      </w:r>
    </w:p>
    <w:p w:rsidR="00C4670F" w:rsidRPr="007C68F7" w:rsidRDefault="00C4670F" w:rsidP="00CA36F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 2026-2028 роки наскрізними стратегічними цілями є</w:t>
      </w:r>
      <w:r w:rsidR="007E52C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безпека,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енергоефективність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="00FB591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життєзабезпечення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безбар’єрність</w:t>
      </w:r>
      <w:proofErr w:type="spellEnd"/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</w:t>
      </w:r>
      <w:r w:rsidR="00CA36F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освічена та здорова нація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Наскрізні стратегічні цілі мають ключове значення для досягнення сталого</w:t>
      </w:r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розвитку та соціальної справедливості в Україні. Їх реалізація передбачає</w:t>
      </w:r>
      <w:r w:rsidR="00433F0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впровадження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енергоефективних</w:t>
      </w:r>
      <w:proofErr w:type="spellEnd"/>
      <w:r w:rsidR="00B16381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технологій, адаптацію інфраструктури до нових викликів та захисту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навколишнього природного середовища, врахування принципів рівності,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безбар’єрності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доступності для всіх категорій населення, включаючи осіб з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інвалідністю, осіб з різними функціональними порушеннями, а також людей</w:t>
      </w:r>
      <w:r w:rsidR="00841EB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похилого віку, незалежно від їх статі та соціального статусу.</w:t>
      </w:r>
    </w:p>
    <w:p w:rsidR="00FE08F5" w:rsidRPr="007C68F7" w:rsidRDefault="00FE08F5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522ACE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Пріоритетні галузі (сектори) для публічного інвестування</w:t>
      </w:r>
    </w:p>
    <w:p w:rsidR="00522ACE" w:rsidRPr="007C68F7" w:rsidRDefault="00522ACE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Пріоритетні галузі (сектори) для публічного інвестування, що містяться в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B16381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ередньостроковому плані є ключовими для 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саме на них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спрямовуватимуться публічні інвестиції на середньостроковий період.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Пріоритетні галузі (сектори) для публічного інвестування були відібрані,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 впорядковані на період дії </w:t>
      </w:r>
      <w:r w:rsidR="00A81816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ередньострокового плану, враховуючи потреби,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пріоритети та спроможності 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а також вимоги Бюджетного кодексу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України щодо спрямування не менше 70 відсотків обсягу публічних інвестицій</w:t>
      </w:r>
      <w:r w:rsidR="00522AC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 продовження (завершення) реалізації розпочатих проектів та програм.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До пріоритетних галузей (секторів) для публічного інвестування,</w:t>
      </w:r>
      <w:r w:rsidR="005073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визначених цим планом, відносяться: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Освіта і наука (Відділ освіти);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Охорона здоров’я (Відділ охорони здоров’я);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Муніципальна інфраструктура та послуги (Управління комунального господарства та будівництва);</w:t>
      </w:r>
    </w:p>
    <w:p w:rsidR="00E16566" w:rsidRPr="007C68F7" w:rsidRDefault="00E16566" w:rsidP="00E1656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Житло (Управління комунального господарства та будівництва);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Транспорт (</w:t>
      </w:r>
      <w:r w:rsidR="005073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Управління комунального господарства та будівництва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);</w:t>
      </w:r>
    </w:p>
    <w:p w:rsidR="00E62574" w:rsidRPr="007C68F7" w:rsidRDefault="00E62574" w:rsidP="00E6257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Довкілля (Управління комунального господарства та будівництва);</w:t>
      </w:r>
    </w:p>
    <w:p w:rsidR="00CB3EC0" w:rsidRPr="007C68F7" w:rsidRDefault="00CB3EC0" w:rsidP="00E6257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Спорт та фізичне виховання (Відділ з питань сім’ї, молоді та спорту);</w:t>
      </w:r>
    </w:p>
    <w:p w:rsidR="00C4670F" w:rsidRPr="007C68F7" w:rsidRDefault="00E1656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Культура та інформація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(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Відділ культури</w:t>
      </w:r>
      <w:r w:rsidR="00E6257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).</w:t>
      </w:r>
    </w:p>
    <w:p w:rsidR="00E16566" w:rsidRPr="007C68F7" w:rsidRDefault="00E1656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 метою досягнення стратегічних цілей розвитку 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забезпечення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реалізації завдань спрямованих на відновлення інфраструктури, стимулювання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соціально-економічного розвитку і покращення якості життя громадян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протягом 2026-2028 років </w:t>
      </w:r>
      <w:r w:rsidR="00A917B5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ередньостроковим планом пропонується визначити</w:t>
      </w:r>
      <w:r w:rsidR="00A4795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5E36B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8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ключових секторів (галузей) для публічного інвестування.</w:t>
      </w:r>
    </w:p>
    <w:p w:rsidR="00A4795F" w:rsidRPr="007C68F7" w:rsidRDefault="00A4795F" w:rsidP="00A4795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Освіта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і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наука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модернізацію закладів</w:t>
      </w:r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освіти, покращення їх інфраструктури, забезпечення якості, безпеки та</w:t>
      </w:r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доступності освіти</w:t>
      </w:r>
      <w:r w:rsidR="00DA67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A4795F" w:rsidRPr="007C68F7" w:rsidRDefault="00A4795F" w:rsidP="00A4795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Охорона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здоров’я</w:t>
      </w:r>
      <w:r w:rsidR="005F48F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4A139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створення нового медичного закладу, </w:t>
      </w:r>
      <w:r w:rsidR="0033274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безпеку,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покращення доступу до медичних послуг та</w:t>
      </w:r>
      <w:r w:rsidR="0014460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оснащення закладів охорони здоров</w:t>
      </w:r>
      <w:r w:rsidR="0014460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’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я сучасним медичним обладнанням</w:t>
      </w:r>
      <w:r w:rsidR="00DA676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144601" w:rsidRPr="007C68F7" w:rsidRDefault="00144601" w:rsidP="00144601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lastRenderedPageBreak/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Муніципальна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інфраструктура та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послуги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спрямований на </w:t>
      </w:r>
      <w:r w:rsidR="0055627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будівництво, реконструкцію та капітальний ремонт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систем 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теплопостачання,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водопостачання і водовідведення в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місті Павлоград</w:t>
      </w:r>
      <w:r w:rsidR="0055627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а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також підвищення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енергоефективності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 Крім того, публічні інвестиції будуть спрямовані на розбудову та</w:t>
      </w:r>
      <w:r w:rsidR="00C5345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відновлення муніципальної інфраструктури.</w:t>
      </w:r>
    </w:p>
    <w:p w:rsidR="0095705D" w:rsidRPr="007C68F7" w:rsidRDefault="0095705D" w:rsidP="0095705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A8132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Житло</w:t>
      </w:r>
      <w:r w:rsidR="00A8132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475B10" w:rsidRPr="007C68F7">
        <w:rPr>
          <w:rFonts w:ascii="Times New Roman" w:hAnsi="Times New Roman"/>
          <w:sz w:val="24"/>
          <w:szCs w:val="24"/>
          <w:lang w:val="uk-UA"/>
        </w:rPr>
        <w:t>модернізацію житлової інфраструктури та покращення умов проживання населення</w:t>
      </w:r>
      <w:r w:rsidR="007F2B5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F17E7" w:rsidRPr="007C68F7" w:rsidRDefault="00C4670F" w:rsidP="005F17E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A62B0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Транспорт</w:t>
      </w:r>
      <w:r w:rsidR="00A62B0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5F17E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будівництво, реконструкцію та капітальний ремонт шляхопроводів, мостів, міських та </w:t>
      </w:r>
      <w:proofErr w:type="spellStart"/>
      <w:r w:rsidR="005F17E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внутрішньоквартальних</w:t>
      </w:r>
      <w:proofErr w:type="spellEnd"/>
      <w:r w:rsidR="005F17E7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доріг.</w:t>
      </w:r>
    </w:p>
    <w:p w:rsidR="00C4670F" w:rsidRPr="007C68F7" w:rsidRDefault="00C4670F" w:rsidP="00F03EF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="00F217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Довкілля</w:t>
      </w:r>
      <w:r w:rsidR="00F217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F03EF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покращення екологічного</w:t>
      </w:r>
      <w:r w:rsidR="00EE312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FD439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стану </w:t>
      </w:r>
      <w:r w:rsidR="00EE312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 </w:t>
      </w:r>
      <w:r w:rsidR="00F03EF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гідрологічного </w:t>
      </w:r>
      <w:r w:rsidR="00FD439E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режиму</w:t>
      </w:r>
      <w:r w:rsidR="00EE312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річки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0E64C0" w:rsidRPr="007C68F7" w:rsidRDefault="000E64C0" w:rsidP="000E64C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Спорт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та фізичне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виховання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232E4A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творення умов для ефективної діяльності </w:t>
      </w:r>
      <w:r w:rsidR="00FF479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у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сфері спорту.</w:t>
      </w:r>
    </w:p>
    <w:p w:rsidR="00FD439E" w:rsidRPr="007C68F7" w:rsidRDefault="00FD439E" w:rsidP="00FD439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Сектор (галузь)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“</w:t>
      </w:r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Культура</w:t>
      </w:r>
      <w:proofErr w:type="spellEnd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 xml:space="preserve"> та </w:t>
      </w:r>
      <w:proofErr w:type="spellStart"/>
      <w:r w:rsidRPr="007C68F7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інформація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ˮ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спрямований на </w:t>
      </w:r>
      <w:r w:rsidR="00FF479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створення сучасного комфортного театрального осередку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FD439E" w:rsidRPr="007C68F7" w:rsidRDefault="00FD439E" w:rsidP="00F03EF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FE769C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 xml:space="preserve"> галузей (секторів) для публічного інвестування</w:t>
      </w:r>
    </w:p>
    <w:p w:rsidR="00FE769C" w:rsidRPr="007C68F7" w:rsidRDefault="00FE769C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 визначають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конкретні сфери діяльності, що потребують фінансування та особливої уваги з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боку 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 Їх визначення дозволяє деталізувати пріоритети та оптимізувати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використання бюджетних коштів.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 межах кожної пріоритетної галузі (сектора) для публічного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інвестування формуються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що відображають ключові напрями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розвитку, які потребують публічних інвестицій.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Підсектори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є важливими аналітичними одиницями, які сприяють</w:t>
      </w:r>
      <w:r w:rsidR="00FB0F8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реалізації </w:t>
      </w:r>
      <w:r w:rsidR="0063743F" w:rsidRPr="0063743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Стратегія розвитку та відновлення </w:t>
      </w:r>
      <w:proofErr w:type="spellStart"/>
      <w:r w:rsidR="0063743F" w:rsidRPr="0063743F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63743F" w:rsidRPr="0063743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територіальної громади на 2026-2028 роки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(далі - Стратегія)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 забезпечують впровадження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інтегрованого підходу до управління публічними інвестиціями.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Перелік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підсекторів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галузей (секторів) для публічного інвестування та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основних напрямів для публічного інвестування в межах таких </w:t>
      </w:r>
      <w:proofErr w:type="spellStart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підсекторів</w:t>
      </w:r>
      <w:proofErr w:type="spellEnd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наведено у Додатку 1 до </w:t>
      </w:r>
      <w:r w:rsidR="006F17C9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ередньострокового плану. Перелік </w:t>
      </w:r>
      <w:proofErr w:type="spellStart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підсекторів</w:t>
      </w:r>
      <w:proofErr w:type="spellEnd"/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галузей (секторів) для публічного інвестування та інших напрямів для</w:t>
      </w:r>
      <w:r w:rsidR="00503343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публічного інвестування - у Додатку 2.</w:t>
      </w:r>
    </w:p>
    <w:p w:rsidR="00DE19C6" w:rsidRPr="007C68F7" w:rsidRDefault="00DE19C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DF0F66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Основні напрями публічного інвестування</w:t>
      </w:r>
    </w:p>
    <w:p w:rsidR="00DF0F66" w:rsidRPr="007C68F7" w:rsidRDefault="00DF0F66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Основні напрями публічного інвестування узгоджуються із завданнями</w:t>
      </w:r>
      <w:r w:rsidR="00DF0F6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A4E4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Стратегії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 мають</w:t>
      </w:r>
      <w:r w:rsidR="00DF0F6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найвищий рівень пріоритетності серед інших напрямів відповідної галузі</w:t>
      </w:r>
      <w:r w:rsidR="00DF0F6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(сектора) для отримання фінансування.</w:t>
      </w:r>
    </w:p>
    <w:p w:rsidR="00C4670F" w:rsidRPr="007C68F7" w:rsidRDefault="00C4670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Формування основних напрямів публічного інвестування здійснювалось</w:t>
      </w:r>
      <w:r w:rsidR="00CA4E4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відділом інвестицій, зовнішнього партнерства та регуляторної політики виконавчого комітету </w:t>
      </w:r>
      <w:proofErr w:type="spellStart"/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 на основі пропозицій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відповідальних </w:t>
      </w:r>
      <w:r w:rsidR="000A3E2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структурних підрозділів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за галузі</w:t>
      </w:r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(сектори) для публічного інвестування, з урахуванням завдань, визначених</w:t>
      </w:r>
      <w:r w:rsidR="002D3DA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відповідн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ою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тратегі</w:t>
      </w:r>
      <w:r w:rsidR="000B7A5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єю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а також з</w:t>
      </w:r>
      <w:r w:rsidR="00A804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урахуванням наявності діючих про</w:t>
      </w:r>
      <w:r w:rsidR="00E81233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за відповідними напрямами.</w:t>
      </w:r>
    </w:p>
    <w:p w:rsidR="00C4670F" w:rsidRPr="007C68F7" w:rsidRDefault="008C29EA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Відповідальними структурними підрозділами за галузі (сектори)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для публічного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інвестування, було подано до 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відділу інвестицій, зовнішнього партнерства та регуляторної політики виконавчого комітету </w:t>
      </w:r>
      <w:proofErr w:type="spellStart"/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 </w:t>
      </w:r>
      <w:r w:rsidR="000E6FF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7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пропозицій до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середньострокового плану, що містили </w:t>
      </w:r>
      <w:r w:rsidR="000E6FF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9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напрям</w:t>
      </w:r>
      <w:r w:rsidR="00E81233">
        <w:rPr>
          <w:rFonts w:ascii="Times New Roman" w:eastAsiaTheme="majorEastAsia" w:hAnsi="Times New Roman" w:cs="Times New Roman"/>
          <w:sz w:val="24"/>
          <w:szCs w:val="24"/>
          <w:lang w:val="uk-UA"/>
        </w:rPr>
        <w:t>ків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для публічного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інвестування, </w:t>
      </w:r>
      <w:r w:rsidR="009240A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які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включен</w:t>
      </w:r>
      <w:r w:rsidR="009240A8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цього</w:t>
      </w:r>
      <w:r w:rsidR="008F5862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C4670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плану.</w:t>
      </w:r>
    </w:p>
    <w:p w:rsidR="00D279FF" w:rsidRDefault="00D279F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7C68F7" w:rsidRPr="007C68F7" w:rsidRDefault="007C68F7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C4670F" w:rsidRPr="007C68F7" w:rsidRDefault="00C4670F" w:rsidP="00D279FF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lastRenderedPageBreak/>
        <w:t>Фінансова структура публічних інвестицій</w:t>
      </w:r>
    </w:p>
    <w:p w:rsidR="00D279FF" w:rsidRPr="007C68F7" w:rsidRDefault="00D279FF" w:rsidP="00C4670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>Орієнтовний граничний сукупний обсяг публічних інвестицій на 2026–2028 роки в розрізі фінансового забезпечення та за роками становить:</w:t>
      </w: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>грн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044"/>
        <w:gridCol w:w="2045"/>
        <w:gridCol w:w="2045"/>
        <w:gridCol w:w="2205"/>
      </w:tblGrid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 рік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 рік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2028 рік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2026-2028 роки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(прогноз)</w:t>
            </w:r>
          </w:p>
        </w:tc>
      </w:tr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197 421 832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150 401 936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152 844 771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500 668 539</w:t>
            </w:r>
          </w:p>
        </w:tc>
      </w:tr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джерела*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782 419 237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1 971 041 506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1 617 849 840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4 371 310 583</w:t>
            </w:r>
          </w:p>
        </w:tc>
      </w:tr>
      <w:tr w:rsidR="007C68F7" w:rsidRPr="007C68F7" w:rsidTr="00485C7A">
        <w:trPr>
          <w:jc w:val="center"/>
        </w:trPr>
        <w:tc>
          <w:tcPr>
            <w:tcW w:w="184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044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979 841 069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2 121 443 442</w:t>
            </w:r>
          </w:p>
        </w:tc>
        <w:tc>
          <w:tcPr>
            <w:tcW w:w="204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1 770 694 611</w:t>
            </w:r>
          </w:p>
        </w:tc>
        <w:tc>
          <w:tcPr>
            <w:tcW w:w="2205" w:type="dxa"/>
            <w:vAlign w:val="center"/>
          </w:tcPr>
          <w:p w:rsidR="007C68F7" w:rsidRPr="007C68F7" w:rsidRDefault="007C68F7" w:rsidP="00E8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4 871 979 122</w:t>
            </w:r>
          </w:p>
        </w:tc>
      </w:tr>
    </w:tbl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7C68F7">
        <w:rPr>
          <w:rFonts w:ascii="Times New Roman" w:hAnsi="Times New Roman"/>
          <w:sz w:val="20"/>
          <w:szCs w:val="20"/>
          <w:lang w:val="uk-UA"/>
        </w:rPr>
        <w:t>*До інших джерел відносяться джерела не заборонені чинним законодавством, кошти міжнародних фінансових організацій та урядів іноземних держав, кошти обласного, державного бюджетів аб</w:t>
      </w:r>
      <w:r w:rsidR="00760B21">
        <w:rPr>
          <w:rFonts w:ascii="Times New Roman" w:hAnsi="Times New Roman"/>
          <w:sz w:val="20"/>
          <w:szCs w:val="20"/>
          <w:lang w:val="uk-UA"/>
        </w:rPr>
        <w:t>о</w:t>
      </w:r>
      <w:r w:rsidRPr="007C68F7">
        <w:rPr>
          <w:rFonts w:ascii="Times New Roman" w:hAnsi="Times New Roman"/>
          <w:sz w:val="20"/>
          <w:szCs w:val="20"/>
          <w:lang w:val="uk-UA"/>
        </w:rPr>
        <w:t xml:space="preserve"> кошти державної підтримки, які планується залучити для реалізації публічних інвестицій</w:t>
      </w:r>
    </w:p>
    <w:p w:rsid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 xml:space="preserve"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фінансовим управлінням </w:t>
      </w:r>
      <w:proofErr w:type="spellStart"/>
      <w:r w:rsidRPr="007C68F7">
        <w:rPr>
          <w:rFonts w:ascii="Times New Roman" w:hAnsi="Times New Roman"/>
          <w:sz w:val="24"/>
          <w:szCs w:val="24"/>
          <w:lang w:val="uk-UA"/>
        </w:rPr>
        <w:t>Павлоградської</w:t>
      </w:r>
      <w:proofErr w:type="spellEnd"/>
      <w:r w:rsidRPr="007C68F7">
        <w:rPr>
          <w:rFonts w:ascii="Times New Roman" w:hAnsi="Times New Roman"/>
          <w:sz w:val="24"/>
          <w:szCs w:val="24"/>
          <w:lang w:val="uk-UA"/>
        </w:rPr>
        <w:t xml:space="preserve"> міської ради орієнтовного граничного сукупного обсягу публічних інвестицій на середньостроковий період має таку структуру:</w:t>
      </w: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68F7" w:rsidRPr="007C68F7" w:rsidRDefault="007C68F7" w:rsidP="007C68F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7C68F7">
        <w:rPr>
          <w:rFonts w:ascii="Times New Roman" w:hAnsi="Times New Roman"/>
          <w:sz w:val="24"/>
          <w:szCs w:val="24"/>
          <w:lang w:val="uk-UA"/>
        </w:rPr>
        <w:t>грн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1728"/>
        <w:gridCol w:w="1540"/>
        <w:gridCol w:w="1620"/>
        <w:gridCol w:w="1616"/>
        <w:gridCol w:w="1734"/>
      </w:tblGrid>
      <w:tr w:rsidR="007C68F7" w:rsidRPr="00562E46" w:rsidTr="005F4AF3">
        <w:trPr>
          <w:jc w:val="center"/>
        </w:trPr>
        <w:tc>
          <w:tcPr>
            <w:tcW w:w="1813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Галузь (сектор)</w:t>
            </w:r>
          </w:p>
        </w:tc>
        <w:tc>
          <w:tcPr>
            <w:tcW w:w="1728" w:type="dxa"/>
            <w:vAlign w:val="center"/>
          </w:tcPr>
          <w:p w:rsidR="007C68F7" w:rsidRPr="007C68F7" w:rsidRDefault="007C68F7" w:rsidP="00AE2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2026 рік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2027 рік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2028 рік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на </w:t>
            </w:r>
            <w:proofErr w:type="spellStart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середньостро-ковий</w:t>
            </w:r>
            <w:proofErr w:type="spellEnd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період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Освіта і наука</w:t>
            </w: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104 410 000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72 395 000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108 995 000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285 800 000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64 230 000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15 140 000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11 290 000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90 660 000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</w:tcPr>
          <w:p w:rsidR="007C68F7" w:rsidRPr="007C68F7" w:rsidRDefault="007C68F7" w:rsidP="00760B2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40 180 000</w:t>
            </w:r>
          </w:p>
        </w:tc>
        <w:tc>
          <w:tcPr>
            <w:tcW w:w="1664" w:type="dxa"/>
          </w:tcPr>
          <w:p w:rsidR="007C68F7" w:rsidRPr="007C68F7" w:rsidRDefault="007C68F7" w:rsidP="00760B2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57 255 000</w:t>
            </w:r>
          </w:p>
        </w:tc>
        <w:tc>
          <w:tcPr>
            <w:tcW w:w="1651" w:type="dxa"/>
          </w:tcPr>
          <w:p w:rsidR="007C68F7" w:rsidRPr="007C68F7" w:rsidRDefault="007C68F7" w:rsidP="00760B21">
            <w:pPr>
              <w:pStyle w:val="18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97 705 000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195 140 000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167 215 481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152 251 660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319 467 141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17 000 000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7 000 000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24 000 000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</w:tcPr>
          <w:p w:rsidR="007C68F7" w:rsidRPr="007C68F7" w:rsidRDefault="007C68F7" w:rsidP="00760B21">
            <w:pPr>
              <w:pStyle w:val="normal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150 215 481</w:t>
            </w:r>
          </w:p>
        </w:tc>
        <w:tc>
          <w:tcPr>
            <w:tcW w:w="1664" w:type="dxa"/>
          </w:tcPr>
          <w:p w:rsidR="007C68F7" w:rsidRPr="007C68F7" w:rsidRDefault="007C68F7" w:rsidP="00760B21">
            <w:pPr>
              <w:pStyle w:val="normal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145 251 660</w:t>
            </w:r>
          </w:p>
        </w:tc>
        <w:tc>
          <w:tcPr>
            <w:tcW w:w="1651" w:type="dxa"/>
          </w:tcPr>
          <w:p w:rsidR="007C68F7" w:rsidRPr="007C68F7" w:rsidRDefault="007C68F7" w:rsidP="00760B21">
            <w:pPr>
              <w:pStyle w:val="normal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295 467 141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Муніципальна інфраструктура та послуги </w:t>
            </w: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241 245 058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972 492 874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760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764 829 611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1 978 567 543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104 916 832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88 726 936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121 628 037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315 271 805</w:t>
            </w:r>
          </w:p>
        </w:tc>
      </w:tr>
      <w:tr w:rsidR="007C68F7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7C68F7" w:rsidRP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C68F7" w:rsidRDefault="007C68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136 328 226</w:t>
            </w:r>
          </w:p>
        </w:tc>
        <w:tc>
          <w:tcPr>
            <w:tcW w:w="1664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883 765 938</w:t>
            </w:r>
          </w:p>
        </w:tc>
        <w:tc>
          <w:tcPr>
            <w:tcW w:w="1651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643 201 574</w:t>
            </w:r>
          </w:p>
        </w:tc>
        <w:tc>
          <w:tcPr>
            <w:tcW w:w="1599" w:type="dxa"/>
            <w:vAlign w:val="center"/>
          </w:tcPr>
          <w:p w:rsidR="007C68F7" w:rsidRPr="007C68F7" w:rsidRDefault="007C68F7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1 663 295 738</w:t>
            </w:r>
          </w:p>
        </w:tc>
      </w:tr>
      <w:tr w:rsidR="00696B69" w:rsidRPr="00562E46" w:rsidTr="005F4AF3">
        <w:trPr>
          <w:jc w:val="center"/>
        </w:trPr>
        <w:tc>
          <w:tcPr>
            <w:tcW w:w="1813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Галузь (сектор)</w:t>
            </w:r>
          </w:p>
        </w:tc>
        <w:tc>
          <w:tcPr>
            <w:tcW w:w="1728" w:type="dxa"/>
            <w:vAlign w:val="center"/>
          </w:tcPr>
          <w:p w:rsidR="00696B69" w:rsidRPr="007C68F7" w:rsidRDefault="00696B69" w:rsidP="00AE2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2026 рік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2027 рік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</w:t>
            </w:r>
          </w:p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2028 рік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2D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Граничний розподіл на </w:t>
            </w:r>
            <w:proofErr w:type="spellStart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середньостро-ковий</w:t>
            </w:r>
            <w:proofErr w:type="spellEnd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період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90 845 530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90 845 530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2 000 000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</w:rPr>
              <w:t>88 845 530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88 845 530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351 940 000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923 118 908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865 685 000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2 140 743 908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5 790 000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38 350 000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15 741 734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59 881 734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696B69" w:rsidRPr="007C68F7" w:rsidRDefault="00696B69" w:rsidP="000457F7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346 150 000</w:t>
            </w:r>
          </w:p>
        </w:tc>
        <w:tc>
          <w:tcPr>
            <w:tcW w:w="1664" w:type="dxa"/>
          </w:tcPr>
          <w:p w:rsidR="00696B69" w:rsidRPr="007C68F7" w:rsidRDefault="00696B69" w:rsidP="000457F7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884 768 908</w:t>
            </w:r>
          </w:p>
        </w:tc>
        <w:tc>
          <w:tcPr>
            <w:tcW w:w="1651" w:type="dxa"/>
          </w:tcPr>
          <w:p w:rsidR="00696B69" w:rsidRPr="007C68F7" w:rsidRDefault="00696B69" w:rsidP="000457F7">
            <w:pPr>
              <w:pStyle w:val="19"/>
              <w:widowControl w:val="0"/>
              <w:spacing w:before="6" w:line="228" w:lineRule="auto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F7">
              <w:rPr>
                <w:rFonts w:ascii="Times New Roman" w:hAnsi="Times New Roman" w:cs="Times New Roman"/>
                <w:sz w:val="24"/>
                <w:szCs w:val="24"/>
              </w:rPr>
              <w:t>849 943 266</w:t>
            </w:r>
          </w:p>
        </w:tc>
        <w:tc>
          <w:tcPr>
            <w:tcW w:w="1599" w:type="dxa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2 080 862 174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Довкілля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3 555 000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1 185 000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3 555 000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0457F7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Спорт та фізичне виховання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23 000 000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4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2 300 000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2 300 000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20 700 000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20 700 000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 w:val="restart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Культура та інформація</w:t>
            </w: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джерелами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30 000 000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3 000 000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3 000 000</w:t>
            </w:r>
          </w:p>
        </w:tc>
      </w:tr>
      <w:tr w:rsidR="00696B69" w:rsidRPr="007C68F7" w:rsidTr="005F4AF3">
        <w:trPr>
          <w:jc w:val="center"/>
        </w:trPr>
        <w:tc>
          <w:tcPr>
            <w:tcW w:w="1813" w:type="dxa"/>
            <w:vMerge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27 000 000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27 000 </w:t>
            </w:r>
            <w:proofErr w:type="spellStart"/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000</w:t>
            </w:r>
            <w:proofErr w:type="spellEnd"/>
          </w:p>
        </w:tc>
      </w:tr>
      <w:tr w:rsidR="00696B69" w:rsidRPr="007C68F7" w:rsidTr="005F4AF3">
        <w:trPr>
          <w:jc w:val="center"/>
        </w:trPr>
        <w:tc>
          <w:tcPr>
            <w:tcW w:w="3541" w:type="dxa"/>
            <w:gridSpan w:val="2"/>
            <w:vAlign w:val="center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результат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979 841 069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2 121 443 442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1 770 694 611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4 871 979 122</w:t>
            </w:r>
          </w:p>
        </w:tc>
      </w:tr>
      <w:tr w:rsidR="00696B69" w:rsidRPr="007C68F7" w:rsidTr="005F4AF3">
        <w:trPr>
          <w:jc w:val="center"/>
        </w:trPr>
        <w:tc>
          <w:tcPr>
            <w:tcW w:w="3541" w:type="dxa"/>
            <w:gridSpan w:val="2"/>
          </w:tcPr>
          <w:p w:rsidR="00696B69" w:rsidRPr="007C68F7" w:rsidRDefault="00696B69" w:rsidP="00485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197 421 832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150 401 936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152 844 771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500 668 539</w:t>
            </w:r>
          </w:p>
        </w:tc>
      </w:tr>
      <w:tr w:rsidR="00696B69" w:rsidRPr="007C68F7" w:rsidTr="005F4AF3">
        <w:trPr>
          <w:jc w:val="center"/>
        </w:trPr>
        <w:tc>
          <w:tcPr>
            <w:tcW w:w="3541" w:type="dxa"/>
            <w:gridSpan w:val="2"/>
          </w:tcPr>
          <w:p w:rsidR="00696B69" w:rsidRPr="007C68F7" w:rsidRDefault="00696B69" w:rsidP="00485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джерела*</w:t>
            </w:r>
          </w:p>
        </w:tc>
        <w:tc>
          <w:tcPr>
            <w:tcW w:w="1596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782 419 237</w:t>
            </w:r>
          </w:p>
        </w:tc>
        <w:tc>
          <w:tcPr>
            <w:tcW w:w="1664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1 971 041 506</w:t>
            </w:r>
          </w:p>
        </w:tc>
        <w:tc>
          <w:tcPr>
            <w:tcW w:w="1651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sz w:val="24"/>
                <w:szCs w:val="24"/>
                <w:lang w:val="uk-UA"/>
              </w:rPr>
              <w:t>1 617 849 840</w:t>
            </w:r>
          </w:p>
        </w:tc>
        <w:tc>
          <w:tcPr>
            <w:tcW w:w="1599" w:type="dxa"/>
            <w:vAlign w:val="center"/>
          </w:tcPr>
          <w:p w:rsidR="00696B69" w:rsidRPr="007C68F7" w:rsidRDefault="00696B69" w:rsidP="00024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68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4 371 310 583</w:t>
            </w:r>
          </w:p>
        </w:tc>
      </w:tr>
    </w:tbl>
    <w:p w:rsidR="007C68F7" w:rsidRPr="00696B69" w:rsidRDefault="007C68F7" w:rsidP="007C68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96B69">
        <w:rPr>
          <w:rFonts w:ascii="Times New Roman" w:hAnsi="Times New Roman"/>
          <w:sz w:val="20"/>
          <w:szCs w:val="20"/>
          <w:lang w:val="uk-UA"/>
        </w:rPr>
        <w:t>*До інших джерел відносяться джерела не заборонені чинним законодавством, кошти міжнародних фінансових організацій та урядів іноземних держав, кошти обласного, державного бюджетів аб</w:t>
      </w:r>
      <w:r w:rsidR="0002482F">
        <w:rPr>
          <w:rFonts w:ascii="Times New Roman" w:hAnsi="Times New Roman"/>
          <w:sz w:val="20"/>
          <w:szCs w:val="20"/>
          <w:lang w:val="uk-UA"/>
        </w:rPr>
        <w:t>о</w:t>
      </w:r>
      <w:r w:rsidRPr="00696B69">
        <w:rPr>
          <w:rFonts w:ascii="Times New Roman" w:hAnsi="Times New Roman"/>
          <w:sz w:val="20"/>
          <w:szCs w:val="20"/>
          <w:lang w:val="uk-UA"/>
        </w:rPr>
        <w:t xml:space="preserve"> кошти державної підтримки, які планується залучити для реалізації публічних інвестицій</w:t>
      </w:r>
    </w:p>
    <w:p w:rsidR="007C68F7" w:rsidRPr="007C68F7" w:rsidRDefault="007C68F7" w:rsidP="007C6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007E" w:rsidRPr="007C68F7" w:rsidRDefault="0051007E" w:rsidP="0051007E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i/>
          <w:sz w:val="24"/>
          <w:szCs w:val="24"/>
          <w:lang w:val="uk-UA"/>
        </w:rPr>
        <w:t>Підсумки та перспективи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Середньостроковий план є документом 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міського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рівня, що формує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основу для якісно нового підходу до управління публічними інвестиціями в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Павлоградській</w:t>
      </w:r>
      <w:proofErr w:type="spellEnd"/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міській територіальній громаді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Визначення наскрізних стратегічних цілей, узгодження </w:t>
      </w:r>
      <w:r w:rsidR="00C06211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зі Стратегією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, продовження та завершення розпочатих проєктів, а також закріплення пріоритетних галузей (секторів) і основних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напрямів публічного інвестування забезпечують спрямування ресурсів на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реалізацію ключових пріоритетів розвитку 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 Це сприятиме ефективному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використанню як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lastRenderedPageBreak/>
        <w:t>попередньо вкладених, так і поточних публічних інвестицій, а</w:t>
      </w:r>
      <w:r w:rsidR="006165B0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також створить чітке розуміння пріоритетних сфер, що потребують підтримки у середньостроковому періоді.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Визначення напрямів публічного інвестування відповідних галузей</w:t>
      </w:r>
      <w:r w:rsidR="00486D8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(секторів) для публічного інвестування має ключове значення для подальшої</w:t>
      </w:r>
      <w:r w:rsidR="00486D8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підготовки, оцінки про</w:t>
      </w:r>
      <w:r w:rsidR="00225BD5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програм, а також формування єдиного</w:t>
      </w:r>
      <w:r w:rsidR="00486D86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</w:t>
      </w:r>
      <w:r w:rsidR="00225BD5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ктного портфеля публічних інвестицій і галузевих (секторальних)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</w:t>
      </w:r>
      <w:r w:rsidR="00225BD5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ктних портфелів 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Підготовка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 передбачає обов’язкове визначення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напряму публічного інвестування у відповідній галузі (сект</w:t>
      </w:r>
      <w:r w:rsidR="0008494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орі), з яким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пов’язаний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 чи програма, а також узгодження мети та цілей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кту з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таким напрямом.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Оцінка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та програм включає оцінку відповідності (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скринінг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),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галузеву (секторальну) експертну оцінку та експертну оцінку, що передбачає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аналіз ряду показників, пов’язаних із напрямами публічного інвестування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відповідних галузей (секторів).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Без визначення напрямів для публічного інвестування неможлива</w:t>
      </w:r>
      <w:r w:rsidR="0079483F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пріоритезація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ктів, які включені до галузевого (секторального)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ктного</w:t>
      </w:r>
      <w:r w:rsidR="00EF0D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портфеля. Пріоритезація про</w:t>
      </w:r>
      <w:r w:rsidR="00857D21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здійснюється в межах напряму відповідно до</w:t>
      </w:r>
      <w:r w:rsidR="00EF0D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критеріїв пріоритезації, визначених відповідальним </w:t>
      </w:r>
      <w:r w:rsidR="00EF0DCB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структурним підрозділом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за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реалізацію державної політики у відповідній галузі (секторі), та передбачає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розрахунок пріоритетності про</w:t>
      </w:r>
      <w:r w:rsidR="005D4CD6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за бальною системою з метою формування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рейтингових списків таких про</w:t>
      </w:r>
      <w:r w:rsidR="005D4CD6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ктів за кожним напрямом публічного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інвестування.</w:t>
      </w:r>
    </w:p>
    <w:p w:rsidR="0051007E" w:rsidRPr="007C68F7" w:rsidRDefault="0051007E" w:rsidP="0051007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В подальшому лише ті про</w:t>
      </w:r>
      <w:r w:rsidR="005D4CD6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кти та програми, що включені до галузевого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(секторального) про</w:t>
      </w:r>
      <w:r w:rsidR="00C60B7B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ктного портфеля та відповідають основним напрямам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публічного інвестування, визначеним в Додатку 1 до </w:t>
      </w:r>
      <w:r w:rsidR="00C60B7B">
        <w:rPr>
          <w:rFonts w:ascii="Times New Roman" w:eastAsiaTheme="majorEastAsia" w:hAnsi="Times New Roman" w:cs="Times New Roman"/>
          <w:sz w:val="24"/>
          <w:szCs w:val="24"/>
          <w:lang w:val="uk-UA"/>
        </w:rPr>
        <w:t>С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ередньострокового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плану, можуть бути включені в Єдиний </w:t>
      </w:r>
      <w:proofErr w:type="spellStart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про</w:t>
      </w:r>
      <w:r w:rsidR="00C60B7B">
        <w:rPr>
          <w:rFonts w:ascii="Times New Roman" w:eastAsiaTheme="majorEastAsia" w:hAnsi="Times New Roman" w:cs="Times New Roman"/>
          <w:sz w:val="24"/>
          <w:szCs w:val="24"/>
          <w:lang w:val="uk-UA"/>
        </w:rPr>
        <w:t>є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ктний</w:t>
      </w:r>
      <w:proofErr w:type="spellEnd"/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портфель публічних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інвестицій 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та, відповідно, зможуть отримати фінансування за рахунок</w:t>
      </w:r>
      <w:r w:rsidR="00435E25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коштів бюджету</w:t>
      </w:r>
      <w:r w:rsidR="00F02CF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2CF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Павлоградської</w:t>
      </w:r>
      <w:proofErr w:type="spellEnd"/>
      <w:r w:rsidR="00F02CFC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:rsidR="00793200" w:rsidRPr="007C68F7" w:rsidRDefault="00793200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E92E28" w:rsidRPr="007C68F7" w:rsidRDefault="00E92E28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E92E28" w:rsidRPr="007C68F7" w:rsidRDefault="00E92E28" w:rsidP="00132B5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BC51D4" w:rsidRPr="007C68F7" w:rsidRDefault="00810E37" w:rsidP="00EC115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</w:t>
      </w:r>
      <w:r w:rsidR="00BC51D4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ачальник відділу інвестицій, </w:t>
      </w:r>
    </w:p>
    <w:p w:rsidR="00EC1159" w:rsidRPr="007C68F7" w:rsidRDefault="00BC51D4" w:rsidP="00EC115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зовнішнього партнерства та </w:t>
      </w:r>
    </w:p>
    <w:p w:rsidR="00BC51D4" w:rsidRPr="007C68F7" w:rsidRDefault="00BC51D4" w:rsidP="00EC115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>регуляторної політики</w:t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="00EC1159"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</w:r>
      <w:r w:rsidRPr="007C68F7">
        <w:rPr>
          <w:rFonts w:ascii="Times New Roman" w:eastAsiaTheme="majorEastAsia" w:hAnsi="Times New Roman" w:cs="Times New Roman"/>
          <w:sz w:val="24"/>
          <w:szCs w:val="24"/>
          <w:lang w:val="uk-UA"/>
        </w:rPr>
        <w:tab/>
        <w:t>Олена ПЕРСИСТА</w:t>
      </w:r>
    </w:p>
    <w:sectPr w:rsidR="00BC51D4" w:rsidRPr="007C68F7" w:rsidSect="007B1922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16" w:rsidRDefault="00DC2C16" w:rsidP="00A358DB">
      <w:pPr>
        <w:spacing w:after="0" w:line="240" w:lineRule="auto"/>
      </w:pPr>
      <w:r>
        <w:separator/>
      </w:r>
    </w:p>
  </w:endnote>
  <w:endnote w:type="continuationSeparator" w:id="0">
    <w:p w:rsidR="00DC2C16" w:rsidRDefault="00DC2C16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16" w:rsidRDefault="00DC2C16" w:rsidP="00A358DB">
      <w:pPr>
        <w:spacing w:after="0" w:line="240" w:lineRule="auto"/>
      </w:pPr>
      <w:r>
        <w:separator/>
      </w:r>
    </w:p>
  </w:footnote>
  <w:footnote w:type="continuationSeparator" w:id="0">
    <w:p w:rsidR="00DC2C16" w:rsidRDefault="00DC2C16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153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FEE" w:rsidRDefault="008F3DC0">
        <w:pPr>
          <w:pStyle w:val="a5"/>
          <w:jc w:val="center"/>
        </w:pPr>
        <w:r w:rsidRPr="00A35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3FEE" w:rsidRPr="00A358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E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5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3FEE" w:rsidRDefault="003A3F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A249B1"/>
    <w:multiLevelType w:val="multilevel"/>
    <w:tmpl w:val="B46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7473D6"/>
    <w:multiLevelType w:val="multilevel"/>
    <w:tmpl w:val="4EF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53CBD"/>
    <w:multiLevelType w:val="multilevel"/>
    <w:tmpl w:val="AB0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B56A0"/>
    <w:multiLevelType w:val="multilevel"/>
    <w:tmpl w:val="005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D0A46"/>
    <w:multiLevelType w:val="multilevel"/>
    <w:tmpl w:val="BEF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175BF"/>
    <w:multiLevelType w:val="multilevel"/>
    <w:tmpl w:val="F1A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E7F17"/>
    <w:multiLevelType w:val="multilevel"/>
    <w:tmpl w:val="DAA479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230AE"/>
    <w:rsid w:val="00023849"/>
    <w:rsid w:val="0002482F"/>
    <w:rsid w:val="00034616"/>
    <w:rsid w:val="000457F7"/>
    <w:rsid w:val="0005140C"/>
    <w:rsid w:val="0006053E"/>
    <w:rsid w:val="0006063C"/>
    <w:rsid w:val="00084945"/>
    <w:rsid w:val="000850A1"/>
    <w:rsid w:val="000A348A"/>
    <w:rsid w:val="000A3E29"/>
    <w:rsid w:val="000B518B"/>
    <w:rsid w:val="000B7A51"/>
    <w:rsid w:val="000D4A05"/>
    <w:rsid w:val="000D68D1"/>
    <w:rsid w:val="000E2AC2"/>
    <w:rsid w:val="000E64C0"/>
    <w:rsid w:val="000E6FFF"/>
    <w:rsid w:val="001011C0"/>
    <w:rsid w:val="0010221D"/>
    <w:rsid w:val="001032DA"/>
    <w:rsid w:val="00123E83"/>
    <w:rsid w:val="001248FF"/>
    <w:rsid w:val="00132B5B"/>
    <w:rsid w:val="00144601"/>
    <w:rsid w:val="0015074B"/>
    <w:rsid w:val="00155A25"/>
    <w:rsid w:val="001567E4"/>
    <w:rsid w:val="001600F4"/>
    <w:rsid w:val="00166CEA"/>
    <w:rsid w:val="001E38BB"/>
    <w:rsid w:val="002113FF"/>
    <w:rsid w:val="00213C1E"/>
    <w:rsid w:val="00224D4E"/>
    <w:rsid w:val="00225BD5"/>
    <w:rsid w:val="00232E4A"/>
    <w:rsid w:val="00243A57"/>
    <w:rsid w:val="00244AB5"/>
    <w:rsid w:val="00260186"/>
    <w:rsid w:val="0026281B"/>
    <w:rsid w:val="00271892"/>
    <w:rsid w:val="00271D0E"/>
    <w:rsid w:val="00291B73"/>
    <w:rsid w:val="00295FFF"/>
    <w:rsid w:val="0029639D"/>
    <w:rsid w:val="002C6AAF"/>
    <w:rsid w:val="002D06CE"/>
    <w:rsid w:val="002D23D6"/>
    <w:rsid w:val="002D3DAC"/>
    <w:rsid w:val="003021B6"/>
    <w:rsid w:val="00326F90"/>
    <w:rsid w:val="00332746"/>
    <w:rsid w:val="003458EC"/>
    <w:rsid w:val="00363FFF"/>
    <w:rsid w:val="0037347E"/>
    <w:rsid w:val="003745E5"/>
    <w:rsid w:val="003A10DD"/>
    <w:rsid w:val="003A37D2"/>
    <w:rsid w:val="003A3FEE"/>
    <w:rsid w:val="003A5652"/>
    <w:rsid w:val="003B312D"/>
    <w:rsid w:val="003C2187"/>
    <w:rsid w:val="003E0330"/>
    <w:rsid w:val="003E7953"/>
    <w:rsid w:val="00422116"/>
    <w:rsid w:val="0043010D"/>
    <w:rsid w:val="00430155"/>
    <w:rsid w:val="00433F0A"/>
    <w:rsid w:val="00435E25"/>
    <w:rsid w:val="00446C5E"/>
    <w:rsid w:val="004608B0"/>
    <w:rsid w:val="004637FC"/>
    <w:rsid w:val="0046421A"/>
    <w:rsid w:val="004678F1"/>
    <w:rsid w:val="00475B10"/>
    <w:rsid w:val="00486D86"/>
    <w:rsid w:val="004A1392"/>
    <w:rsid w:val="004B19EF"/>
    <w:rsid w:val="004B3CA6"/>
    <w:rsid w:val="004D0D3B"/>
    <w:rsid w:val="004F17E6"/>
    <w:rsid w:val="004F211C"/>
    <w:rsid w:val="00501217"/>
    <w:rsid w:val="00503343"/>
    <w:rsid w:val="00507360"/>
    <w:rsid w:val="0051007E"/>
    <w:rsid w:val="00516BFA"/>
    <w:rsid w:val="00522ACE"/>
    <w:rsid w:val="0053221A"/>
    <w:rsid w:val="0055095C"/>
    <w:rsid w:val="00556270"/>
    <w:rsid w:val="00562E46"/>
    <w:rsid w:val="005A31FE"/>
    <w:rsid w:val="005A619F"/>
    <w:rsid w:val="005D03AE"/>
    <w:rsid w:val="005D1C78"/>
    <w:rsid w:val="005D4CD6"/>
    <w:rsid w:val="005D58A1"/>
    <w:rsid w:val="005D5FC0"/>
    <w:rsid w:val="005E36BC"/>
    <w:rsid w:val="005E382B"/>
    <w:rsid w:val="005F17E7"/>
    <w:rsid w:val="005F48FB"/>
    <w:rsid w:val="005F49D0"/>
    <w:rsid w:val="005F4AF3"/>
    <w:rsid w:val="005F6C22"/>
    <w:rsid w:val="006046B8"/>
    <w:rsid w:val="006050B1"/>
    <w:rsid w:val="0060620A"/>
    <w:rsid w:val="006165B0"/>
    <w:rsid w:val="0062623F"/>
    <w:rsid w:val="0063743F"/>
    <w:rsid w:val="00645DC1"/>
    <w:rsid w:val="00653A28"/>
    <w:rsid w:val="006552FB"/>
    <w:rsid w:val="00666583"/>
    <w:rsid w:val="00672C32"/>
    <w:rsid w:val="00677164"/>
    <w:rsid w:val="00696B69"/>
    <w:rsid w:val="006C7633"/>
    <w:rsid w:val="006E4420"/>
    <w:rsid w:val="006F17C9"/>
    <w:rsid w:val="00705D9D"/>
    <w:rsid w:val="00756EEF"/>
    <w:rsid w:val="00760B21"/>
    <w:rsid w:val="00763A7A"/>
    <w:rsid w:val="00770571"/>
    <w:rsid w:val="00785DDB"/>
    <w:rsid w:val="00786F17"/>
    <w:rsid w:val="00793200"/>
    <w:rsid w:val="0079483F"/>
    <w:rsid w:val="007B1922"/>
    <w:rsid w:val="007B5A1B"/>
    <w:rsid w:val="007B5F10"/>
    <w:rsid w:val="007C68F7"/>
    <w:rsid w:val="007D478E"/>
    <w:rsid w:val="007E1644"/>
    <w:rsid w:val="007E52C7"/>
    <w:rsid w:val="007F2B57"/>
    <w:rsid w:val="00810E37"/>
    <w:rsid w:val="00821CE5"/>
    <w:rsid w:val="00841EBA"/>
    <w:rsid w:val="0084390B"/>
    <w:rsid w:val="00857D21"/>
    <w:rsid w:val="00870587"/>
    <w:rsid w:val="00874801"/>
    <w:rsid w:val="008813BB"/>
    <w:rsid w:val="00883562"/>
    <w:rsid w:val="00886A86"/>
    <w:rsid w:val="008A0ECF"/>
    <w:rsid w:val="008B4561"/>
    <w:rsid w:val="008C29EA"/>
    <w:rsid w:val="008D07EC"/>
    <w:rsid w:val="008D0E60"/>
    <w:rsid w:val="008D3845"/>
    <w:rsid w:val="008F3040"/>
    <w:rsid w:val="008F3DC0"/>
    <w:rsid w:val="008F5862"/>
    <w:rsid w:val="008F6A49"/>
    <w:rsid w:val="009240A8"/>
    <w:rsid w:val="009461A0"/>
    <w:rsid w:val="0095705D"/>
    <w:rsid w:val="00957EA9"/>
    <w:rsid w:val="00961448"/>
    <w:rsid w:val="00961B9B"/>
    <w:rsid w:val="00976DE8"/>
    <w:rsid w:val="00980536"/>
    <w:rsid w:val="0098508E"/>
    <w:rsid w:val="00987A80"/>
    <w:rsid w:val="00996712"/>
    <w:rsid w:val="00997542"/>
    <w:rsid w:val="009C7104"/>
    <w:rsid w:val="009C7BA7"/>
    <w:rsid w:val="009D7371"/>
    <w:rsid w:val="00A0268C"/>
    <w:rsid w:val="00A0471D"/>
    <w:rsid w:val="00A04C3F"/>
    <w:rsid w:val="00A1261C"/>
    <w:rsid w:val="00A30061"/>
    <w:rsid w:val="00A358DB"/>
    <w:rsid w:val="00A40AD8"/>
    <w:rsid w:val="00A4795F"/>
    <w:rsid w:val="00A532C7"/>
    <w:rsid w:val="00A62B09"/>
    <w:rsid w:val="00A76703"/>
    <w:rsid w:val="00A804CB"/>
    <w:rsid w:val="00A81324"/>
    <w:rsid w:val="00A81816"/>
    <w:rsid w:val="00A917B5"/>
    <w:rsid w:val="00A93731"/>
    <w:rsid w:val="00AA13CA"/>
    <w:rsid w:val="00AA1D8D"/>
    <w:rsid w:val="00AA5318"/>
    <w:rsid w:val="00AB1586"/>
    <w:rsid w:val="00AB372F"/>
    <w:rsid w:val="00AB4842"/>
    <w:rsid w:val="00AB590E"/>
    <w:rsid w:val="00AB6517"/>
    <w:rsid w:val="00AD32C8"/>
    <w:rsid w:val="00AD42EE"/>
    <w:rsid w:val="00AD4C8C"/>
    <w:rsid w:val="00AE2335"/>
    <w:rsid w:val="00AE75E7"/>
    <w:rsid w:val="00B0541E"/>
    <w:rsid w:val="00B13F33"/>
    <w:rsid w:val="00B16381"/>
    <w:rsid w:val="00B32133"/>
    <w:rsid w:val="00B35306"/>
    <w:rsid w:val="00B40C2E"/>
    <w:rsid w:val="00B4117E"/>
    <w:rsid w:val="00B452E8"/>
    <w:rsid w:val="00B47730"/>
    <w:rsid w:val="00B60738"/>
    <w:rsid w:val="00B76BD6"/>
    <w:rsid w:val="00B87B5A"/>
    <w:rsid w:val="00BA5572"/>
    <w:rsid w:val="00BB00E5"/>
    <w:rsid w:val="00BB2CA1"/>
    <w:rsid w:val="00BC51D4"/>
    <w:rsid w:val="00BE560E"/>
    <w:rsid w:val="00C06211"/>
    <w:rsid w:val="00C07810"/>
    <w:rsid w:val="00C27761"/>
    <w:rsid w:val="00C344C8"/>
    <w:rsid w:val="00C4670F"/>
    <w:rsid w:val="00C53452"/>
    <w:rsid w:val="00C60B7B"/>
    <w:rsid w:val="00C62D31"/>
    <w:rsid w:val="00C74490"/>
    <w:rsid w:val="00C876F7"/>
    <w:rsid w:val="00C9130E"/>
    <w:rsid w:val="00C91EA5"/>
    <w:rsid w:val="00C93163"/>
    <w:rsid w:val="00CA36F8"/>
    <w:rsid w:val="00CA4E40"/>
    <w:rsid w:val="00CA52AD"/>
    <w:rsid w:val="00CB0664"/>
    <w:rsid w:val="00CB12E3"/>
    <w:rsid w:val="00CB3EC0"/>
    <w:rsid w:val="00CC4A45"/>
    <w:rsid w:val="00CC52E9"/>
    <w:rsid w:val="00CC6F54"/>
    <w:rsid w:val="00CE1192"/>
    <w:rsid w:val="00CE1C29"/>
    <w:rsid w:val="00CF4F25"/>
    <w:rsid w:val="00D279FF"/>
    <w:rsid w:val="00D54D1F"/>
    <w:rsid w:val="00D60B09"/>
    <w:rsid w:val="00D7771D"/>
    <w:rsid w:val="00D90E6E"/>
    <w:rsid w:val="00D96F05"/>
    <w:rsid w:val="00DA1909"/>
    <w:rsid w:val="00DA6760"/>
    <w:rsid w:val="00DB4D99"/>
    <w:rsid w:val="00DC2C16"/>
    <w:rsid w:val="00DC4ACB"/>
    <w:rsid w:val="00DC7152"/>
    <w:rsid w:val="00DE19C6"/>
    <w:rsid w:val="00DE4710"/>
    <w:rsid w:val="00DE6096"/>
    <w:rsid w:val="00DF0F66"/>
    <w:rsid w:val="00E04A00"/>
    <w:rsid w:val="00E16566"/>
    <w:rsid w:val="00E24D29"/>
    <w:rsid w:val="00E257F0"/>
    <w:rsid w:val="00E25AD1"/>
    <w:rsid w:val="00E315BE"/>
    <w:rsid w:val="00E57DB3"/>
    <w:rsid w:val="00E62574"/>
    <w:rsid w:val="00E71AF5"/>
    <w:rsid w:val="00E81233"/>
    <w:rsid w:val="00E92E28"/>
    <w:rsid w:val="00EA4DBE"/>
    <w:rsid w:val="00EC0BE5"/>
    <w:rsid w:val="00EC1159"/>
    <w:rsid w:val="00EC17B8"/>
    <w:rsid w:val="00EC4159"/>
    <w:rsid w:val="00EE0A4D"/>
    <w:rsid w:val="00EE3121"/>
    <w:rsid w:val="00EE6262"/>
    <w:rsid w:val="00EF0DCB"/>
    <w:rsid w:val="00F02CFC"/>
    <w:rsid w:val="00F03EF6"/>
    <w:rsid w:val="00F20657"/>
    <w:rsid w:val="00F21725"/>
    <w:rsid w:val="00F23F31"/>
    <w:rsid w:val="00F25208"/>
    <w:rsid w:val="00F25AA0"/>
    <w:rsid w:val="00F32948"/>
    <w:rsid w:val="00F3380E"/>
    <w:rsid w:val="00F4229D"/>
    <w:rsid w:val="00F62B90"/>
    <w:rsid w:val="00F63972"/>
    <w:rsid w:val="00F75C33"/>
    <w:rsid w:val="00F777D7"/>
    <w:rsid w:val="00F8418B"/>
    <w:rsid w:val="00F873ED"/>
    <w:rsid w:val="00F914F9"/>
    <w:rsid w:val="00F93141"/>
    <w:rsid w:val="00FA6EC3"/>
    <w:rsid w:val="00FB0F83"/>
    <w:rsid w:val="00FB591F"/>
    <w:rsid w:val="00FC3E6A"/>
    <w:rsid w:val="00FC693F"/>
    <w:rsid w:val="00FD07F7"/>
    <w:rsid w:val="00FD303B"/>
    <w:rsid w:val="00FD331B"/>
    <w:rsid w:val="00FD439E"/>
    <w:rsid w:val="00FE08F5"/>
    <w:rsid w:val="00FE440D"/>
    <w:rsid w:val="00FE4F88"/>
    <w:rsid w:val="00FE769C"/>
    <w:rsid w:val="00FF4798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8">
    <w:name w:val="Обычный1"/>
    <w:rsid w:val="003A3FEE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normal">
    <w:name w:val="normal"/>
    <w:rsid w:val="00763A7A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19">
    <w:name w:val="Звичайний1"/>
    <w:rsid w:val="00291B73"/>
    <w:pPr>
      <w:spacing w:after="0"/>
    </w:pPr>
    <w:rPr>
      <w:rFonts w:ascii="Arial" w:eastAsia="Arial" w:hAnsi="Arial" w:cs="Arial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6BC36-3D96-4FEC-A205-6E72DF58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9615</Words>
  <Characters>5481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torg4</cp:lastModifiedBy>
  <cp:revision>95</cp:revision>
  <cp:lastPrinted>2025-09-11T11:21:00Z</cp:lastPrinted>
  <dcterms:created xsi:type="dcterms:W3CDTF">2013-12-23T23:15:00Z</dcterms:created>
  <dcterms:modified xsi:type="dcterms:W3CDTF">2025-09-11T11:21:00Z</dcterms:modified>
  <cp:category/>
</cp:coreProperties>
</file>