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01" w:rsidRDefault="00C83C01" w:rsidP="00C83C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83C01">
        <w:rPr>
          <w:rFonts w:ascii="Times New Roman" w:hAnsi="Times New Roman" w:cs="Times New Roman"/>
          <w:sz w:val="36"/>
          <w:szCs w:val="36"/>
        </w:rPr>
        <w:t xml:space="preserve">Аналіз </w:t>
      </w:r>
    </w:p>
    <w:p w:rsidR="00FF5317" w:rsidRDefault="00C83C01" w:rsidP="00C83C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83C01">
        <w:rPr>
          <w:rFonts w:ascii="Times New Roman" w:hAnsi="Times New Roman" w:cs="Times New Roman"/>
          <w:sz w:val="36"/>
          <w:szCs w:val="36"/>
        </w:rPr>
        <w:t>регуляторного впливу</w:t>
      </w:r>
      <w:r>
        <w:rPr>
          <w:rFonts w:ascii="Times New Roman" w:hAnsi="Times New Roman" w:cs="Times New Roman"/>
          <w:sz w:val="36"/>
          <w:szCs w:val="36"/>
        </w:rPr>
        <w:t xml:space="preserve"> проекту рішення</w:t>
      </w:r>
    </w:p>
    <w:p w:rsidR="00C83C01" w:rsidRDefault="00C83C01" w:rsidP="00C83C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«Про порядок видачі, переоформлення, відмови у видачі, припинення дії дозволу на порушення об’єктів благоустрою у м. Павлограді» </w:t>
      </w:r>
    </w:p>
    <w:p w:rsidR="00B64330" w:rsidRDefault="00B64330" w:rsidP="00C83C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D2A58" w:rsidRPr="007171EF" w:rsidRDefault="00ED2A58" w:rsidP="001164E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регуляторного впливу проекту рішення виконавчого комітету Павлоградської міської ради ««Порядок видачі дозволів на порушення об’єктів благоустрою або відмови в їх видачі, переоформлення, видачі дублікатів, анулювання дозволів на територіях Павлоградської міської територіальної громади». Підготовлено згідно 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</w:t>
      </w:r>
      <w:proofErr w:type="spellStart"/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 постановою Кабінету Міністрів</w:t>
      </w:r>
      <w:r w:rsidR="001164E1"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від 11.03.2022 № 308. </w:t>
      </w:r>
    </w:p>
    <w:p w:rsidR="00ED2A58" w:rsidRPr="007171EF" w:rsidRDefault="00C83C01" w:rsidP="00ED2A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регуляторного акту:</w:t>
      </w:r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видачі дозволів на порушення об’єктів благоустрою або відмови в їх видачі, переоформлення, видачі дублікатів, анулювання дозволів </w:t>
      </w:r>
      <w:r w:rsidR="00B643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Павлограді</w:t>
      </w:r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D2A58" w:rsidRPr="007171EF" w:rsidRDefault="00ED2A58" w:rsidP="00ED2A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Регуляторний орган:</w:t>
      </w:r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комунального господарства та будівництва Павлоградської міської ради.</w:t>
      </w:r>
    </w:p>
    <w:p w:rsidR="00ED2A58" w:rsidRPr="007171EF" w:rsidRDefault="00ED2A58" w:rsidP="00C83C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Розробник документів</w:t>
      </w:r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управління комунального господарства та будівництва Павлоградської міської ради.</w:t>
      </w:r>
    </w:p>
    <w:p w:rsidR="001164E1" w:rsidRPr="007171EF" w:rsidRDefault="001164E1" w:rsidP="00C83C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Контактний </w:t>
      </w:r>
      <w:proofErr w:type="spellStart"/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171EF">
        <w:rPr>
          <w:rFonts w:ascii="Times New Roman" w:eastAsia="Times New Roman" w:hAnsi="Times New Roman" w:cs="Times New Roman"/>
          <w:sz w:val="28"/>
          <w:szCs w:val="28"/>
          <w:lang w:eastAsia="ru-RU"/>
        </w:rPr>
        <w:t>.: +380508807892.</w:t>
      </w:r>
    </w:p>
    <w:p w:rsidR="001164E1" w:rsidRDefault="001164E1" w:rsidP="00C83C01">
      <w:pPr>
        <w:rPr>
          <w:rFonts w:ascii="Times New Roman" w:hAnsi="Times New Roman" w:cs="Times New Roman"/>
          <w:sz w:val="28"/>
          <w:szCs w:val="28"/>
        </w:rPr>
      </w:pPr>
    </w:p>
    <w:p w:rsidR="001164E1" w:rsidRPr="007171EF" w:rsidRDefault="001164E1" w:rsidP="007171E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171EF">
        <w:rPr>
          <w:rFonts w:ascii="Times New Roman" w:hAnsi="Times New Roman" w:cs="Times New Roman"/>
          <w:b/>
          <w:sz w:val="28"/>
          <w:szCs w:val="28"/>
        </w:rPr>
        <w:t>Визначення проблеми, яку передбачається розв’язат</w:t>
      </w:r>
      <w:r w:rsidR="00BC33D9">
        <w:rPr>
          <w:rFonts w:ascii="Times New Roman" w:hAnsi="Times New Roman" w:cs="Times New Roman"/>
          <w:b/>
          <w:sz w:val="28"/>
          <w:szCs w:val="28"/>
        </w:rPr>
        <w:t>и шляхом державного регулювання</w:t>
      </w:r>
    </w:p>
    <w:p w:rsidR="00A3477F" w:rsidRDefault="00A3477F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регуляторного впливу проекту рішення Павлоградської міської ради «Про п</w:t>
      </w:r>
      <w:r w:rsidRPr="001164E1">
        <w:rPr>
          <w:rFonts w:ascii="Times New Roman" w:hAnsi="Times New Roman" w:cs="Times New Roman"/>
          <w:sz w:val="28"/>
          <w:szCs w:val="28"/>
        </w:rPr>
        <w:t>орядок видачі дозволів на порушення об’єктів благоустрою або відмови в їх видачі, переоформлення, видачі дублікатів, анулювання дозволів на території м. Павлограда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3CDB">
        <w:rPr>
          <w:rFonts w:ascii="Times New Roman" w:hAnsi="Times New Roman" w:cs="Times New Roman"/>
          <w:sz w:val="28"/>
          <w:szCs w:val="28"/>
        </w:rPr>
        <w:t xml:space="preserve"> (далі по тексту – Аналіз)</w:t>
      </w:r>
      <w:r>
        <w:rPr>
          <w:rFonts w:ascii="Times New Roman" w:hAnsi="Times New Roman" w:cs="Times New Roman"/>
          <w:sz w:val="28"/>
          <w:szCs w:val="28"/>
        </w:rPr>
        <w:t xml:space="preserve"> розроблений з метою встановлення на території </w:t>
      </w:r>
      <w:r w:rsidR="00147829">
        <w:rPr>
          <w:rFonts w:ascii="Times New Roman" w:hAnsi="Times New Roman" w:cs="Times New Roman"/>
          <w:sz w:val="28"/>
          <w:szCs w:val="28"/>
        </w:rPr>
        <w:t>Павлоградської територіальної громади єдиного порядку видачі дозволів на порушення об’єктів благоустрою</w:t>
      </w:r>
      <w:r w:rsidR="00543CDB">
        <w:rPr>
          <w:rFonts w:ascii="Times New Roman" w:hAnsi="Times New Roman" w:cs="Times New Roman"/>
          <w:sz w:val="28"/>
          <w:szCs w:val="28"/>
        </w:rPr>
        <w:t xml:space="preserve"> або відмови в їх видачі, переоформлення, видачі дублікатів, анулювання дозволів.</w:t>
      </w:r>
    </w:p>
    <w:p w:rsidR="00543CDB" w:rsidRDefault="001164E1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E1">
        <w:rPr>
          <w:rFonts w:ascii="Times New Roman" w:hAnsi="Times New Roman" w:cs="Times New Roman"/>
          <w:sz w:val="28"/>
          <w:szCs w:val="28"/>
        </w:rPr>
        <w:t>Павлоградсько</w:t>
      </w:r>
      <w:r w:rsidR="00417814">
        <w:rPr>
          <w:rFonts w:ascii="Times New Roman" w:hAnsi="Times New Roman" w:cs="Times New Roman"/>
          <w:sz w:val="28"/>
          <w:szCs w:val="28"/>
        </w:rPr>
        <w:t>ю</w:t>
      </w:r>
      <w:r w:rsidRPr="001164E1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417814">
        <w:rPr>
          <w:rFonts w:ascii="Times New Roman" w:hAnsi="Times New Roman" w:cs="Times New Roman"/>
          <w:sz w:val="28"/>
          <w:szCs w:val="28"/>
        </w:rPr>
        <w:t>ю</w:t>
      </w:r>
      <w:r w:rsidRPr="001164E1">
        <w:rPr>
          <w:rFonts w:ascii="Times New Roman" w:hAnsi="Times New Roman" w:cs="Times New Roman"/>
          <w:sz w:val="28"/>
          <w:szCs w:val="28"/>
        </w:rPr>
        <w:t xml:space="preserve"> рад</w:t>
      </w:r>
      <w:r w:rsidR="00417814">
        <w:rPr>
          <w:rFonts w:ascii="Times New Roman" w:hAnsi="Times New Roman" w:cs="Times New Roman"/>
          <w:sz w:val="28"/>
          <w:szCs w:val="28"/>
        </w:rPr>
        <w:t>ою</w:t>
      </w:r>
      <w:r w:rsidRPr="001164E1">
        <w:rPr>
          <w:rFonts w:ascii="Times New Roman" w:hAnsi="Times New Roman" w:cs="Times New Roman"/>
          <w:sz w:val="28"/>
          <w:szCs w:val="28"/>
        </w:rPr>
        <w:t xml:space="preserve"> у 2020 році було затверджено </w:t>
      </w:r>
      <w:r w:rsidR="00543CDB">
        <w:rPr>
          <w:rFonts w:ascii="Times New Roman" w:hAnsi="Times New Roman" w:cs="Times New Roman"/>
          <w:sz w:val="28"/>
          <w:szCs w:val="28"/>
        </w:rPr>
        <w:t xml:space="preserve"> </w:t>
      </w:r>
      <w:r w:rsidR="00417814">
        <w:rPr>
          <w:rFonts w:ascii="Times New Roman" w:hAnsi="Times New Roman" w:cs="Times New Roman"/>
          <w:sz w:val="28"/>
          <w:szCs w:val="28"/>
        </w:rPr>
        <w:t>Порядок</w:t>
      </w:r>
      <w:r w:rsidR="00543CDB">
        <w:rPr>
          <w:rFonts w:ascii="Times New Roman" w:hAnsi="Times New Roman" w:cs="Times New Roman"/>
          <w:sz w:val="28"/>
          <w:szCs w:val="28"/>
        </w:rPr>
        <w:t xml:space="preserve">, але </w:t>
      </w:r>
      <w:r>
        <w:rPr>
          <w:rFonts w:ascii="Times New Roman" w:hAnsi="Times New Roman" w:cs="Times New Roman"/>
          <w:sz w:val="28"/>
          <w:szCs w:val="28"/>
        </w:rPr>
        <w:t>у зв’язку зі змінами в законодавстві виникла необхідність у внесені доповнень та перегляді регулятор</w:t>
      </w:r>
      <w:r w:rsidR="007171EF">
        <w:rPr>
          <w:rFonts w:ascii="Times New Roman" w:hAnsi="Times New Roman" w:cs="Times New Roman"/>
          <w:sz w:val="28"/>
          <w:szCs w:val="28"/>
        </w:rPr>
        <w:t>ного акту діючого</w:t>
      </w:r>
      <w:r w:rsidR="00417814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7171EF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417814">
        <w:rPr>
          <w:rFonts w:ascii="Times New Roman" w:hAnsi="Times New Roman" w:cs="Times New Roman"/>
          <w:sz w:val="28"/>
          <w:szCs w:val="28"/>
        </w:rPr>
        <w:t>а</w:t>
      </w:r>
      <w:r w:rsidR="00543CDB">
        <w:rPr>
          <w:rFonts w:ascii="Times New Roman" w:hAnsi="Times New Roman" w:cs="Times New Roman"/>
          <w:sz w:val="28"/>
          <w:szCs w:val="28"/>
        </w:rPr>
        <w:t>, а саме: внесення змін до Постанови Кабінету Міністрів України від 30 жовтня 2013 р. № 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="00032B51">
        <w:rPr>
          <w:rFonts w:ascii="Times New Roman" w:hAnsi="Times New Roman" w:cs="Times New Roman"/>
          <w:sz w:val="28"/>
          <w:szCs w:val="28"/>
        </w:rPr>
        <w:t>»</w:t>
      </w:r>
      <w:r w:rsidR="00543CDB">
        <w:rPr>
          <w:rFonts w:ascii="Times New Roman" w:hAnsi="Times New Roman" w:cs="Times New Roman"/>
          <w:sz w:val="28"/>
          <w:szCs w:val="28"/>
        </w:rPr>
        <w:t>.</w:t>
      </w:r>
    </w:p>
    <w:p w:rsidR="00417814" w:rsidRDefault="00417814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1EF" w:rsidRDefault="007171EF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B81" w:rsidRDefault="00302B81" w:rsidP="007171E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71EF" w:rsidRDefault="007171EF" w:rsidP="007171E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171EF" w:rsidRDefault="007171EF" w:rsidP="007171E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71EF" w:rsidRDefault="00543CDB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зазначене, управління</w:t>
      </w:r>
      <w:r w:rsidR="004178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господарства Павлоградської міської ради було підготовлено проект </w:t>
      </w:r>
      <w:r w:rsidR="00417814">
        <w:rPr>
          <w:rFonts w:ascii="Times New Roman" w:hAnsi="Times New Roman" w:cs="Times New Roman"/>
          <w:sz w:val="28"/>
          <w:szCs w:val="28"/>
        </w:rPr>
        <w:t>рішення</w:t>
      </w:r>
      <w:r w:rsidR="00032B51">
        <w:rPr>
          <w:rFonts w:ascii="Times New Roman" w:hAnsi="Times New Roman" w:cs="Times New Roman"/>
          <w:sz w:val="28"/>
          <w:szCs w:val="28"/>
        </w:rPr>
        <w:t xml:space="preserve">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м</w:t>
      </w:r>
      <w:r w:rsidR="00B64330">
        <w:rPr>
          <w:rFonts w:ascii="Times New Roman" w:hAnsi="Times New Roman" w:cs="Times New Roman"/>
          <w:sz w:val="28"/>
          <w:szCs w:val="28"/>
        </w:rPr>
        <w:t>.</w:t>
      </w:r>
      <w:r w:rsidR="00032B51">
        <w:rPr>
          <w:rFonts w:ascii="Times New Roman" w:hAnsi="Times New Roman" w:cs="Times New Roman"/>
          <w:sz w:val="28"/>
          <w:szCs w:val="28"/>
        </w:rPr>
        <w:t xml:space="preserve"> Павлограді».</w:t>
      </w:r>
    </w:p>
    <w:p w:rsidR="00543CDB" w:rsidRDefault="00E710B7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ча</w:t>
      </w:r>
      <w:r w:rsidR="009C7439">
        <w:rPr>
          <w:rFonts w:ascii="Times New Roman" w:hAnsi="Times New Roman" w:cs="Times New Roman"/>
          <w:sz w:val="28"/>
          <w:szCs w:val="28"/>
        </w:rPr>
        <w:t>стини статті 16 Закону України «П</w:t>
      </w:r>
      <w:r>
        <w:rPr>
          <w:rFonts w:ascii="Times New Roman" w:hAnsi="Times New Roman" w:cs="Times New Roman"/>
          <w:sz w:val="28"/>
          <w:szCs w:val="28"/>
        </w:rPr>
        <w:t xml:space="preserve">ро благоустрій населених пунктів» визначено, що на об’єктах благоустрою забороняється виконувати роботи без дозволу, обов’язковість його </w:t>
      </w:r>
      <w:r w:rsidR="004178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тримання передбачена законом. Порядком встановлюється процедура видачі</w:t>
      </w:r>
      <w:r w:rsidR="00982242">
        <w:rPr>
          <w:rFonts w:ascii="Times New Roman" w:hAnsi="Times New Roman" w:cs="Times New Roman"/>
          <w:sz w:val="28"/>
          <w:szCs w:val="28"/>
        </w:rPr>
        <w:t>, переоформлення,</w:t>
      </w:r>
      <w:r>
        <w:rPr>
          <w:rFonts w:ascii="Times New Roman" w:hAnsi="Times New Roman" w:cs="Times New Roman"/>
          <w:sz w:val="28"/>
          <w:szCs w:val="28"/>
        </w:rPr>
        <w:t xml:space="preserve"> відмова </w:t>
      </w:r>
      <w:r w:rsidR="0098224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видачі, </w:t>
      </w:r>
      <w:r w:rsidR="00982242">
        <w:rPr>
          <w:rFonts w:ascii="Times New Roman" w:hAnsi="Times New Roman" w:cs="Times New Roman"/>
          <w:sz w:val="28"/>
          <w:szCs w:val="28"/>
        </w:rPr>
        <w:t>припинення дії</w:t>
      </w:r>
      <w:r w:rsidRPr="00E7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дозвол</w:t>
      </w:r>
      <w:r w:rsidR="0098224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порушення об’єктів благоустрою</w:t>
      </w:r>
      <w:r w:rsidR="009C7439">
        <w:rPr>
          <w:rFonts w:ascii="Times New Roman" w:hAnsi="Times New Roman" w:cs="Times New Roman"/>
          <w:sz w:val="28"/>
          <w:szCs w:val="28"/>
        </w:rPr>
        <w:t>.</w:t>
      </w:r>
    </w:p>
    <w:p w:rsidR="009C7439" w:rsidRDefault="009C7439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4178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протягом 2025 року було надано 6</w:t>
      </w:r>
      <w:r w:rsidR="00302B81">
        <w:rPr>
          <w:rFonts w:ascii="Times New Roman" w:hAnsi="Times New Roman" w:cs="Times New Roman"/>
          <w:sz w:val="28"/>
          <w:szCs w:val="28"/>
        </w:rPr>
        <w:t>9</w:t>
      </w:r>
      <w:r w:rsidR="004178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дозволів</w:t>
      </w:r>
      <w:r w:rsidR="00302B81">
        <w:rPr>
          <w:rFonts w:ascii="Times New Roman" w:hAnsi="Times New Roman" w:cs="Times New Roman"/>
          <w:sz w:val="28"/>
          <w:szCs w:val="28"/>
        </w:rPr>
        <w:t xml:space="preserve"> на порушення об’єкту благоустрою</w:t>
      </w:r>
      <w:r w:rsidR="00417814">
        <w:rPr>
          <w:rFonts w:ascii="Times New Roman" w:hAnsi="Times New Roman" w:cs="Times New Roman"/>
          <w:sz w:val="28"/>
          <w:szCs w:val="28"/>
        </w:rPr>
        <w:t xml:space="preserve">, </w:t>
      </w:r>
      <w:r w:rsidR="00302B81">
        <w:rPr>
          <w:rFonts w:ascii="Times New Roman" w:hAnsi="Times New Roman" w:cs="Times New Roman"/>
          <w:sz w:val="28"/>
          <w:szCs w:val="28"/>
        </w:rPr>
        <w:t>з них 5</w:t>
      </w:r>
      <w:r w:rsidR="007902B5">
        <w:rPr>
          <w:rFonts w:ascii="Times New Roman" w:hAnsi="Times New Roman" w:cs="Times New Roman"/>
          <w:sz w:val="28"/>
          <w:szCs w:val="28"/>
        </w:rPr>
        <w:t>4</w:t>
      </w:r>
      <w:r w:rsidR="00302B81">
        <w:rPr>
          <w:rFonts w:ascii="Times New Roman" w:hAnsi="Times New Roman" w:cs="Times New Roman"/>
          <w:sz w:val="28"/>
          <w:szCs w:val="28"/>
        </w:rPr>
        <w:t xml:space="preserve"> складено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виконання </w:t>
      </w:r>
      <w:r w:rsidR="00302B81">
        <w:rPr>
          <w:rFonts w:ascii="Times New Roman" w:hAnsi="Times New Roman" w:cs="Times New Roman"/>
          <w:sz w:val="28"/>
          <w:szCs w:val="28"/>
        </w:rPr>
        <w:t xml:space="preserve">земляних </w:t>
      </w:r>
      <w:bookmarkStart w:id="0" w:name="_GoBack"/>
      <w:bookmarkEnd w:id="0"/>
      <w:r w:rsidR="00302B81">
        <w:rPr>
          <w:rFonts w:ascii="Times New Roman" w:hAnsi="Times New Roman" w:cs="Times New Roman"/>
          <w:sz w:val="28"/>
          <w:szCs w:val="28"/>
        </w:rPr>
        <w:t xml:space="preserve">робіт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81">
        <w:rPr>
          <w:rFonts w:ascii="Times New Roman" w:hAnsi="Times New Roman" w:cs="Times New Roman"/>
          <w:sz w:val="28"/>
          <w:szCs w:val="28"/>
        </w:rPr>
        <w:t>анулювавих</w:t>
      </w:r>
      <w:proofErr w:type="spellEnd"/>
      <w:r w:rsidR="00302B81">
        <w:rPr>
          <w:rFonts w:ascii="Times New Roman" w:hAnsi="Times New Roman" w:cs="Times New Roman"/>
          <w:sz w:val="28"/>
          <w:szCs w:val="28"/>
        </w:rPr>
        <w:t xml:space="preserve"> дозволів – </w:t>
      </w:r>
      <w:r w:rsidR="007902B5">
        <w:rPr>
          <w:rFonts w:ascii="Times New Roman" w:hAnsi="Times New Roman" w:cs="Times New Roman"/>
          <w:sz w:val="28"/>
          <w:szCs w:val="28"/>
        </w:rPr>
        <w:t>8</w:t>
      </w:r>
      <w:r w:rsidR="00302B81">
        <w:rPr>
          <w:rFonts w:ascii="Times New Roman" w:hAnsi="Times New Roman" w:cs="Times New Roman"/>
          <w:sz w:val="28"/>
          <w:szCs w:val="28"/>
        </w:rPr>
        <w:t xml:space="preserve"> в місті Павлоград. </w:t>
      </w:r>
    </w:p>
    <w:p w:rsidR="009C7439" w:rsidRDefault="009C7439" w:rsidP="00717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групи (підгрупи), на які проблема справляє вплив: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688"/>
      </w:tblGrid>
      <w:tr w:rsidR="009C7439" w:rsidTr="00D87EEF">
        <w:tc>
          <w:tcPr>
            <w:tcW w:w="3823" w:type="dxa"/>
          </w:tcPr>
          <w:p w:rsidR="009C7439" w:rsidRDefault="009C7439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7E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упи (підгруп</w:t>
            </w:r>
            <w:r w:rsidR="00D87EEF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  <w:p w:rsidR="00D87EEF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268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</w:tr>
      <w:tr w:rsidR="009C7439" w:rsidTr="00D87EEF">
        <w:tc>
          <w:tcPr>
            <w:tcW w:w="3823" w:type="dxa"/>
          </w:tcPr>
          <w:p w:rsidR="009C7439" w:rsidRDefault="00D87EEF" w:rsidP="009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Громадяни</w:t>
            </w:r>
          </w:p>
        </w:tc>
        <w:tc>
          <w:tcPr>
            <w:tcW w:w="311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8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439" w:rsidTr="00D87EEF">
        <w:tc>
          <w:tcPr>
            <w:tcW w:w="3823" w:type="dxa"/>
          </w:tcPr>
          <w:p w:rsidR="009C7439" w:rsidRDefault="00D87EEF" w:rsidP="009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 місцевого самоврядування </w:t>
            </w:r>
          </w:p>
        </w:tc>
        <w:tc>
          <w:tcPr>
            <w:tcW w:w="311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8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439" w:rsidTr="00D87EEF">
        <w:tc>
          <w:tcPr>
            <w:tcW w:w="3823" w:type="dxa"/>
          </w:tcPr>
          <w:p w:rsidR="009C7439" w:rsidRPr="00D87EEF" w:rsidRDefault="00D87EEF" w:rsidP="009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господарювання</w:t>
            </w:r>
          </w:p>
        </w:tc>
        <w:tc>
          <w:tcPr>
            <w:tcW w:w="311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88" w:type="dxa"/>
          </w:tcPr>
          <w:p w:rsidR="009C7439" w:rsidRDefault="00D87EEF" w:rsidP="00D8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7439" w:rsidRDefault="009C7439" w:rsidP="009C7439">
      <w:pPr>
        <w:rPr>
          <w:rFonts w:ascii="Times New Roman" w:hAnsi="Times New Roman" w:cs="Times New Roman"/>
          <w:sz w:val="28"/>
          <w:szCs w:val="28"/>
        </w:rPr>
      </w:pPr>
    </w:p>
    <w:p w:rsidR="00D87EEF" w:rsidRDefault="00D87EEF" w:rsidP="00BC33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дозволяє привести нормативні акти у відповідності до вимог діючого законодавства та врегулювання </w:t>
      </w:r>
      <w:r w:rsidR="00BC33D9">
        <w:rPr>
          <w:rFonts w:ascii="Times New Roman" w:hAnsi="Times New Roman" w:cs="Times New Roman"/>
          <w:sz w:val="28"/>
          <w:szCs w:val="28"/>
        </w:rPr>
        <w:t xml:space="preserve"> питання, що виникають у сфері благоустрою між суб’єктами господарювання, фізичними особами та органами місцевого самоврядування щодо порушення </w:t>
      </w:r>
      <w:r w:rsidR="00417814">
        <w:rPr>
          <w:rFonts w:ascii="Times New Roman" w:hAnsi="Times New Roman" w:cs="Times New Roman"/>
          <w:sz w:val="28"/>
          <w:szCs w:val="28"/>
        </w:rPr>
        <w:t xml:space="preserve">об’єктів </w:t>
      </w:r>
      <w:r w:rsidR="00BC33D9">
        <w:rPr>
          <w:rFonts w:ascii="Times New Roman" w:hAnsi="Times New Roman" w:cs="Times New Roman"/>
          <w:sz w:val="28"/>
          <w:szCs w:val="28"/>
        </w:rPr>
        <w:t xml:space="preserve">благоустрою та </w:t>
      </w:r>
      <w:r w:rsidR="00417814">
        <w:rPr>
          <w:rFonts w:ascii="Times New Roman" w:hAnsi="Times New Roman" w:cs="Times New Roman"/>
          <w:sz w:val="28"/>
          <w:szCs w:val="28"/>
        </w:rPr>
        <w:t xml:space="preserve">їх </w:t>
      </w:r>
      <w:r w:rsidR="00BC33D9">
        <w:rPr>
          <w:rFonts w:ascii="Times New Roman" w:hAnsi="Times New Roman" w:cs="Times New Roman"/>
          <w:sz w:val="28"/>
          <w:szCs w:val="28"/>
        </w:rPr>
        <w:t>подальшого відновлення.</w:t>
      </w:r>
    </w:p>
    <w:p w:rsidR="00BC33D9" w:rsidRPr="00BC33D9" w:rsidRDefault="00BC33D9" w:rsidP="00BC33D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D9">
        <w:rPr>
          <w:rFonts w:ascii="Times New Roman" w:hAnsi="Times New Roman" w:cs="Times New Roman"/>
          <w:b/>
          <w:sz w:val="28"/>
          <w:szCs w:val="28"/>
        </w:rPr>
        <w:t>Визначення цілей державного регулювання</w:t>
      </w:r>
    </w:p>
    <w:p w:rsidR="000B50FD" w:rsidRDefault="00BC33D9" w:rsidP="000B5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проекту є визначення механізму врегулювання питання проведення земляних та/або ремонтних, аварійних робіт на об’єктах благоустрою, отримання документів дозвільного характеру у відповідності до вимог чинного законодавства.</w:t>
      </w:r>
    </w:p>
    <w:p w:rsidR="00BC33D9" w:rsidRDefault="000B50FD" w:rsidP="000B5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Запровадити єдиний зразок щодо видачі на порушення об’єктів благоустрою їх видачі, переоформлення, відмов</w:t>
      </w:r>
      <w:r w:rsidR="004178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 видачі, припинення дії</w:t>
      </w:r>
      <w:r w:rsidRPr="00E71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дозволу на порушення об’єктів благоустрою </w:t>
      </w:r>
      <w:r w:rsidR="00B64330">
        <w:rPr>
          <w:rFonts w:ascii="Times New Roman" w:hAnsi="Times New Roman" w:cs="Times New Roman"/>
          <w:sz w:val="28"/>
          <w:szCs w:val="28"/>
        </w:rPr>
        <w:t>у м. Павлограді</w:t>
      </w:r>
      <w:r w:rsidR="00417814">
        <w:rPr>
          <w:rFonts w:ascii="Times New Roman" w:hAnsi="Times New Roman" w:cs="Times New Roman"/>
          <w:sz w:val="28"/>
          <w:szCs w:val="28"/>
        </w:rPr>
        <w:t>. Це</w:t>
      </w:r>
      <w:r w:rsidR="00B64330">
        <w:rPr>
          <w:rFonts w:ascii="Times New Roman" w:hAnsi="Times New Roman" w:cs="Times New Roman"/>
          <w:sz w:val="28"/>
          <w:szCs w:val="28"/>
        </w:rPr>
        <w:t xml:space="preserve"> </w:t>
      </w:r>
      <w:r w:rsidR="00417814">
        <w:rPr>
          <w:rFonts w:ascii="Times New Roman" w:hAnsi="Times New Roman" w:cs="Times New Roman"/>
          <w:sz w:val="28"/>
          <w:szCs w:val="28"/>
        </w:rPr>
        <w:t>призведе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814">
        <w:rPr>
          <w:rFonts w:ascii="Times New Roman" w:hAnsi="Times New Roman" w:cs="Times New Roman"/>
          <w:sz w:val="28"/>
          <w:szCs w:val="28"/>
        </w:rPr>
        <w:t xml:space="preserve"> до </w:t>
      </w:r>
      <w:r w:rsidR="00B64330">
        <w:rPr>
          <w:rFonts w:ascii="Times New Roman" w:hAnsi="Times New Roman" w:cs="Times New Roman"/>
          <w:sz w:val="28"/>
          <w:szCs w:val="28"/>
        </w:rPr>
        <w:t>об’єктивного взаєморозуміння</w:t>
      </w:r>
      <w:r>
        <w:rPr>
          <w:rFonts w:ascii="Times New Roman" w:hAnsi="Times New Roman" w:cs="Times New Roman"/>
          <w:sz w:val="28"/>
          <w:szCs w:val="28"/>
        </w:rPr>
        <w:t xml:space="preserve"> між органами місцевого самоврядування, суб’єктами господарювання, фізичними особами, які мають намір проводити земляні/ремонті роботи.</w:t>
      </w:r>
    </w:p>
    <w:p w:rsidR="00302B81" w:rsidRDefault="00302B81" w:rsidP="000B5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B81" w:rsidRDefault="00302B81" w:rsidP="000B5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814" w:rsidRDefault="00417814" w:rsidP="00B643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330" w:rsidRDefault="00302B81" w:rsidP="00B643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B50FD" w:rsidRDefault="000B50FD" w:rsidP="00302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чергу орган міс</w:t>
      </w:r>
      <w:r w:rsidR="00417814">
        <w:rPr>
          <w:rFonts w:ascii="Times New Roman" w:hAnsi="Times New Roman" w:cs="Times New Roman"/>
          <w:sz w:val="28"/>
          <w:szCs w:val="28"/>
        </w:rPr>
        <w:t>цевого самоврядування, в собі у</w:t>
      </w:r>
      <w:r>
        <w:rPr>
          <w:rFonts w:ascii="Times New Roman" w:hAnsi="Times New Roman" w:cs="Times New Roman"/>
          <w:sz w:val="28"/>
          <w:szCs w:val="28"/>
        </w:rPr>
        <w:t>правління</w:t>
      </w:r>
      <w:r w:rsidR="004178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господарства матиме змогу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реагувати та здійснювати контроль за об’єктами б</w:t>
      </w:r>
      <w:r w:rsidR="00417814">
        <w:rPr>
          <w:rFonts w:ascii="Times New Roman" w:hAnsi="Times New Roman" w:cs="Times New Roman"/>
          <w:sz w:val="28"/>
          <w:szCs w:val="28"/>
        </w:rPr>
        <w:t>лагоустрою, де ведуться земляні/</w:t>
      </w:r>
      <w:r>
        <w:rPr>
          <w:rFonts w:ascii="Times New Roman" w:hAnsi="Times New Roman" w:cs="Times New Roman"/>
          <w:sz w:val="28"/>
          <w:szCs w:val="28"/>
        </w:rPr>
        <w:t xml:space="preserve"> ремонті роботи.</w:t>
      </w:r>
    </w:p>
    <w:p w:rsidR="000B50FD" w:rsidRDefault="000B50FD" w:rsidP="000B5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про </w:t>
      </w:r>
      <w:r w:rsidR="00990633">
        <w:rPr>
          <w:rFonts w:ascii="Times New Roman" w:hAnsi="Times New Roman" w:cs="Times New Roman"/>
          <w:sz w:val="28"/>
          <w:szCs w:val="28"/>
        </w:rPr>
        <w:t>зміни порядку видачі дозволів на порушення об’єктів благоустрою забезпечує:</w:t>
      </w:r>
    </w:p>
    <w:p w:rsidR="00990633" w:rsidRDefault="00990633" w:rsidP="00990633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недопущення самовільного проведення порушення об’єктів благоустрою;</w:t>
      </w:r>
    </w:p>
    <w:p w:rsidR="00990633" w:rsidRDefault="00990633" w:rsidP="00990633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виведення з ладу підземних комунікацій;</w:t>
      </w:r>
    </w:p>
    <w:p w:rsidR="00990633" w:rsidRDefault="00990633" w:rsidP="00990633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незаконного порушення елементів благоустрою;</w:t>
      </w:r>
    </w:p>
    <w:p w:rsidR="00990633" w:rsidRDefault="00990633" w:rsidP="00990633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відновлення порушених елементів благоустрою.</w:t>
      </w:r>
    </w:p>
    <w:p w:rsidR="00CD4FB7" w:rsidRDefault="00CD4FB7" w:rsidP="00CD4F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FB7" w:rsidRDefault="00CD4FB7" w:rsidP="00CD4F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FB7">
        <w:rPr>
          <w:rFonts w:ascii="Times New Roman" w:hAnsi="Times New Roman" w:cs="Times New Roman"/>
          <w:b/>
          <w:sz w:val="28"/>
          <w:szCs w:val="28"/>
        </w:rPr>
        <w:t>Визначення та оцінка альтернативних способів досягнення цілей</w:t>
      </w:r>
    </w:p>
    <w:p w:rsidR="00CD4FB7" w:rsidRDefault="00CD4FB7" w:rsidP="00CD4FB7">
      <w:pPr>
        <w:spacing w:line="240" w:lineRule="auto"/>
      </w:pPr>
    </w:p>
    <w:p w:rsidR="00CD4FB7" w:rsidRDefault="00CD4FB7" w:rsidP="00CD4FB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4FB7">
        <w:rPr>
          <w:rFonts w:ascii="Times New Roman" w:hAnsi="Times New Roman" w:cs="Times New Roman"/>
          <w:sz w:val="28"/>
          <w:szCs w:val="28"/>
        </w:rPr>
        <w:t>Визначення альтернативних способів.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D4FB7" w:rsidTr="00CD4FB7">
        <w:tc>
          <w:tcPr>
            <w:tcW w:w="4814" w:type="dxa"/>
          </w:tcPr>
          <w:p w:rsidR="00CD4FB7" w:rsidRPr="00CD4FB7" w:rsidRDefault="00CD4FB7" w:rsidP="00CD4F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Вид альтернативи</w:t>
            </w:r>
          </w:p>
        </w:tc>
        <w:tc>
          <w:tcPr>
            <w:tcW w:w="4815" w:type="dxa"/>
          </w:tcPr>
          <w:p w:rsidR="00CD4FB7" w:rsidRPr="00CD4FB7" w:rsidRDefault="00CD4FB7" w:rsidP="00CD4F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Опис альтернативи</w:t>
            </w:r>
          </w:p>
        </w:tc>
      </w:tr>
      <w:tr w:rsidR="00CD4FB7" w:rsidTr="00CD4FB7">
        <w:tc>
          <w:tcPr>
            <w:tcW w:w="4814" w:type="dxa"/>
          </w:tcPr>
          <w:p w:rsidR="00CD4FB7" w:rsidRPr="00CD4FB7" w:rsidRDefault="00CD4FB7" w:rsidP="00CD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4815" w:type="dxa"/>
          </w:tcPr>
          <w:p w:rsidR="00CD4FB7" w:rsidRPr="00CD4FB7" w:rsidRDefault="00CD4FB7" w:rsidP="00CD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Прийняти рішення.</w:t>
            </w:r>
          </w:p>
          <w:p w:rsidR="00CD4FB7" w:rsidRPr="00CD4FB7" w:rsidRDefault="00CD4FB7" w:rsidP="00CD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 xml:space="preserve">У разі прийняття рішення це покращить стан благоустрою, а також встановить єдині вимоги до суб’єктів господарювання, фізичних осіб, забезпечить регулювання у сфері благоустрою </w:t>
            </w:r>
          </w:p>
        </w:tc>
      </w:tr>
      <w:tr w:rsidR="00CD4FB7" w:rsidTr="00CD4FB7">
        <w:tc>
          <w:tcPr>
            <w:tcW w:w="4814" w:type="dxa"/>
          </w:tcPr>
          <w:p w:rsidR="00CD4FB7" w:rsidRPr="00CD4FB7" w:rsidRDefault="00A53112" w:rsidP="00CD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4815" w:type="dxa"/>
          </w:tcPr>
          <w:p w:rsidR="00CD4FB7" w:rsidRDefault="00A53112" w:rsidP="00CD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Залишити рішення без змін.</w:t>
            </w:r>
          </w:p>
          <w:p w:rsidR="00A53112" w:rsidRPr="00CD4FB7" w:rsidRDefault="00A53112" w:rsidP="00CD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 відповідати вимогам чинного законодавства щодо встановлення вимог у сфері благоустрою на території Павлоградської громади</w:t>
            </w:r>
            <w:r w:rsidR="007827AF">
              <w:rPr>
                <w:rFonts w:ascii="Times New Roman" w:hAnsi="Times New Roman" w:cs="Times New Roman"/>
                <w:sz w:val="28"/>
                <w:szCs w:val="28"/>
              </w:rPr>
              <w:t>. Відсутність контролю за роботами на об’єктам благоустрою</w:t>
            </w:r>
          </w:p>
        </w:tc>
      </w:tr>
    </w:tbl>
    <w:p w:rsidR="00CD4FB7" w:rsidRPr="00A269A2" w:rsidRDefault="00CD4FB7" w:rsidP="00A269A2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A269A2" w:rsidRDefault="00A269A2" w:rsidP="00302B81">
      <w:pPr>
        <w:pStyle w:val="a3"/>
        <w:numPr>
          <w:ilvl w:val="1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269A2">
        <w:rPr>
          <w:rFonts w:ascii="Times New Roman" w:hAnsi="Times New Roman" w:cs="Times New Roman"/>
          <w:sz w:val="28"/>
          <w:szCs w:val="28"/>
        </w:rPr>
        <w:t>Оцінка вибраних альтернативних способів досягнення цілей</w:t>
      </w:r>
    </w:p>
    <w:p w:rsidR="00A269A2" w:rsidRDefault="00A269A2" w:rsidP="00302B8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269A2">
        <w:rPr>
          <w:rFonts w:ascii="Times New Roman" w:hAnsi="Times New Roman" w:cs="Times New Roman"/>
          <w:sz w:val="28"/>
          <w:szCs w:val="28"/>
        </w:rPr>
        <w:t>Оцінка впливу на сферу інтересів держави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269A2" w:rsidRPr="00CD4FB7" w:rsidTr="00BD0E42">
        <w:tc>
          <w:tcPr>
            <w:tcW w:w="4814" w:type="dxa"/>
          </w:tcPr>
          <w:p w:rsidR="00A269A2" w:rsidRPr="00CD4FB7" w:rsidRDefault="00A269A2" w:rsidP="00BD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Вид альтернативи</w:t>
            </w:r>
          </w:p>
        </w:tc>
        <w:tc>
          <w:tcPr>
            <w:tcW w:w="4815" w:type="dxa"/>
          </w:tcPr>
          <w:p w:rsidR="00A269A2" w:rsidRPr="00CD4FB7" w:rsidRDefault="00A269A2" w:rsidP="00BD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Опис альтернативи</w:t>
            </w:r>
          </w:p>
        </w:tc>
      </w:tr>
      <w:tr w:rsidR="00A269A2" w:rsidRPr="00CD4FB7" w:rsidTr="00BD0E42">
        <w:tc>
          <w:tcPr>
            <w:tcW w:w="4814" w:type="dxa"/>
          </w:tcPr>
          <w:p w:rsidR="00A269A2" w:rsidRPr="00CD4FB7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4815" w:type="dxa"/>
          </w:tcPr>
          <w:p w:rsidR="00A269A2" w:rsidRPr="00CD4FB7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Прийняти рішення.</w:t>
            </w:r>
          </w:p>
          <w:p w:rsidR="00A269A2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підвищення якості та ефективності заходів з утримання благоустрою, поліпшення стану на території Павлоградської територіальної громади, встановлення єдиних вимог для суб’єктивного проведення робіт, пов’язаного з порушенням благоустрою</w:t>
            </w:r>
          </w:p>
          <w:p w:rsidR="00A269A2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9A2" w:rsidRPr="00CD4FB7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A2" w:rsidRPr="00CD4FB7" w:rsidTr="00BD0E42">
        <w:tc>
          <w:tcPr>
            <w:tcW w:w="4814" w:type="dxa"/>
          </w:tcPr>
          <w:p w:rsidR="00A269A2" w:rsidRPr="00CD4FB7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Альтернатива 2</w:t>
            </w:r>
          </w:p>
        </w:tc>
        <w:tc>
          <w:tcPr>
            <w:tcW w:w="4815" w:type="dxa"/>
          </w:tcPr>
          <w:p w:rsidR="00A269A2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Залишити рішення без змін.</w:t>
            </w:r>
          </w:p>
          <w:p w:rsidR="00BE14DC" w:rsidRDefault="00BE14DC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Спосіб оцінюється як такий, що потребує вдосконалення.</w:t>
            </w:r>
          </w:p>
          <w:p w:rsidR="00A269A2" w:rsidRPr="00CD4FB7" w:rsidRDefault="00A269A2" w:rsidP="00BD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</w:tbl>
    <w:p w:rsidR="00A269A2" w:rsidRDefault="00FC297B" w:rsidP="00A26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297B" w:rsidRDefault="00FC297B" w:rsidP="00FC297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впливу на сферу інтересів громадян: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297B" w:rsidRPr="00CD4FB7" w:rsidTr="00BA53E5">
        <w:tc>
          <w:tcPr>
            <w:tcW w:w="4814" w:type="dxa"/>
          </w:tcPr>
          <w:p w:rsidR="00FC297B" w:rsidRPr="00CD4FB7" w:rsidRDefault="00FC297B" w:rsidP="00BA53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Вид альтернативи</w:t>
            </w:r>
          </w:p>
        </w:tc>
        <w:tc>
          <w:tcPr>
            <w:tcW w:w="4815" w:type="dxa"/>
          </w:tcPr>
          <w:p w:rsidR="00FC297B" w:rsidRPr="00CD4FB7" w:rsidRDefault="00FC297B" w:rsidP="00BA53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Опис альтернативи</w:t>
            </w:r>
          </w:p>
        </w:tc>
      </w:tr>
      <w:tr w:rsidR="00FC297B" w:rsidRPr="00CD4FB7" w:rsidTr="00BA53E5">
        <w:tc>
          <w:tcPr>
            <w:tcW w:w="4814" w:type="dxa"/>
          </w:tcPr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4815" w:type="dxa"/>
          </w:tcPr>
          <w:p w:rsidR="00FC297B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Прийняти рішення.</w:t>
            </w:r>
          </w:p>
          <w:p w:rsidR="00BE14DC" w:rsidRPr="00CD4FB7" w:rsidRDefault="00BE14DC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Забезпечує досягнення цілей.</w:t>
            </w:r>
          </w:p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єдиних основних критеріїв та вимог при проведені робіт, пов’язаних з порушенням благоустрою території Павлоградської міської громади, створення сприятливих умов життєдіяльності, покращення благоустрою, користування суспільними благами за рахунок покращення стану об’єктів і елементів благоустрою.</w:t>
            </w:r>
          </w:p>
        </w:tc>
      </w:tr>
      <w:tr w:rsidR="00FC297B" w:rsidRPr="00CD4FB7" w:rsidTr="00BA53E5">
        <w:tc>
          <w:tcPr>
            <w:tcW w:w="4814" w:type="dxa"/>
          </w:tcPr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4815" w:type="dxa"/>
          </w:tcPr>
          <w:p w:rsidR="00FC297B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Залишити рішення без змін.</w:t>
            </w:r>
          </w:p>
          <w:p w:rsidR="00BE14DC" w:rsidRDefault="00BE14DC" w:rsidP="00BE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Вирішення визначених проблемних питань шляхом внесення змін до інших рішень.</w:t>
            </w:r>
          </w:p>
          <w:p w:rsidR="00FC297B" w:rsidRPr="00CD4FB7" w:rsidRDefault="00BE14DC" w:rsidP="00BE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</w:tbl>
    <w:p w:rsidR="00FC297B" w:rsidRDefault="00FC297B" w:rsidP="00FC297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впливу на сферу інтересів суб’єктів господарювання: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297B" w:rsidRPr="00CD4FB7" w:rsidTr="00BA53E5">
        <w:tc>
          <w:tcPr>
            <w:tcW w:w="4814" w:type="dxa"/>
          </w:tcPr>
          <w:p w:rsidR="00FC297B" w:rsidRPr="00CD4FB7" w:rsidRDefault="00FC297B" w:rsidP="00BA53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Вид альтернативи</w:t>
            </w:r>
          </w:p>
        </w:tc>
        <w:tc>
          <w:tcPr>
            <w:tcW w:w="4815" w:type="dxa"/>
          </w:tcPr>
          <w:p w:rsidR="00FC297B" w:rsidRPr="00CD4FB7" w:rsidRDefault="00FC297B" w:rsidP="00BA53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FB7">
              <w:rPr>
                <w:rFonts w:ascii="Times New Roman" w:hAnsi="Times New Roman" w:cs="Times New Roman"/>
                <w:sz w:val="32"/>
                <w:szCs w:val="32"/>
              </w:rPr>
              <w:t>Опис альтернативи</w:t>
            </w:r>
          </w:p>
        </w:tc>
      </w:tr>
      <w:tr w:rsidR="00FC297B" w:rsidRPr="00CD4FB7" w:rsidTr="00BA53E5">
        <w:tc>
          <w:tcPr>
            <w:tcW w:w="4814" w:type="dxa"/>
          </w:tcPr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4815" w:type="dxa"/>
          </w:tcPr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B7">
              <w:rPr>
                <w:rFonts w:ascii="Times New Roman" w:hAnsi="Times New Roman" w:cs="Times New Roman"/>
                <w:sz w:val="28"/>
                <w:szCs w:val="28"/>
              </w:rPr>
              <w:t>Прийняти рішення.</w:t>
            </w:r>
          </w:p>
          <w:p w:rsidR="00FC297B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Спосіб оцінювання як такий за забезпечує виконання.</w:t>
            </w:r>
          </w:p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Єдиний для усіх прозорий механізм отримання дозволу, видачі, переоформлення, відмови у видачі, припинення дії дозволу на порушення об’єктів благоустрою</w:t>
            </w:r>
          </w:p>
        </w:tc>
      </w:tr>
      <w:tr w:rsidR="00FC297B" w:rsidRPr="00CD4FB7" w:rsidTr="00BA53E5">
        <w:tc>
          <w:tcPr>
            <w:tcW w:w="4814" w:type="dxa"/>
          </w:tcPr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4815" w:type="dxa"/>
          </w:tcPr>
          <w:p w:rsidR="00FC297B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Залишити рішення без змін.</w:t>
            </w:r>
          </w:p>
          <w:p w:rsidR="00BE14DC" w:rsidRDefault="00BE14DC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Вирішення визначених проблемних питань шляхом внесення змін до інших рішень.</w:t>
            </w:r>
          </w:p>
          <w:p w:rsidR="00FC297B" w:rsidRPr="00CD4FB7" w:rsidRDefault="00FC297B" w:rsidP="00B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</w:tbl>
    <w:p w:rsidR="007827AF" w:rsidRDefault="007827AF" w:rsidP="00BE1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7AF" w:rsidRDefault="007827AF" w:rsidP="00BE1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7AF" w:rsidRDefault="007827AF" w:rsidP="00BE1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4DC" w:rsidRDefault="00BE14DC" w:rsidP="00BE1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BE14DC" w:rsidRDefault="00BE14DC" w:rsidP="00B6433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4DC">
        <w:rPr>
          <w:rFonts w:ascii="Times New Roman" w:hAnsi="Times New Roman" w:cs="Times New Roman"/>
          <w:b/>
          <w:sz w:val="28"/>
          <w:szCs w:val="28"/>
        </w:rPr>
        <w:t>Вибір найбільш оптимального альтернативного способу досягнення цілей</w:t>
      </w:r>
    </w:p>
    <w:p w:rsidR="00B64330" w:rsidRPr="003E0E65" w:rsidRDefault="00B64330" w:rsidP="00B64330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E14DC" w:rsidRDefault="00BE14DC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4DC">
        <w:rPr>
          <w:rFonts w:ascii="Times New Roman" w:hAnsi="Times New Roman" w:cs="Times New Roman"/>
          <w:sz w:val="28"/>
          <w:szCs w:val="28"/>
        </w:rPr>
        <w:t xml:space="preserve">На дію регуляторного </w:t>
      </w:r>
      <w:proofErr w:type="spellStart"/>
      <w:r w:rsidRPr="00BE14D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негативно можуть вплинути такі економічні та політичні фактори: економічна криза, політична нестабільність, зміни у чинному законодавстві. Зазначені фактор  впливатимуть на стан утримання об’єктів благоустрою, ефективність діяльність підприємств у цій сфері.</w:t>
      </w:r>
    </w:p>
    <w:p w:rsidR="00BE14DC" w:rsidRDefault="00BE14DC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Можливість виконання акту з боку органів місцевого самоврядування, а також фізичних та юридичних осіб оцінюється як висока.</w:t>
      </w:r>
    </w:p>
    <w:p w:rsidR="00B6542C" w:rsidRDefault="00B6542C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Механізм повної або часткової компенсації можливої шкоди у разі настання очікування наслідків 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розроблявся, оскільки настання будь-яких негативних наслідків, за результатами прийняття запропонованого механізму, не очікується.</w:t>
      </w:r>
    </w:p>
    <w:p w:rsidR="00B6542C" w:rsidRDefault="00B6542C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та нагляд за додержанням вимог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здійснювати управляння комунального господарства </w:t>
      </w:r>
      <w:r w:rsidR="00B64330">
        <w:rPr>
          <w:rFonts w:ascii="Times New Roman" w:hAnsi="Times New Roman" w:cs="Times New Roman"/>
          <w:sz w:val="28"/>
          <w:szCs w:val="28"/>
        </w:rPr>
        <w:t xml:space="preserve">та будівництва </w:t>
      </w:r>
      <w:r>
        <w:rPr>
          <w:rFonts w:ascii="Times New Roman" w:hAnsi="Times New Roman" w:cs="Times New Roman"/>
          <w:sz w:val="28"/>
          <w:szCs w:val="28"/>
        </w:rPr>
        <w:t>Павлоградської міської ради.</w:t>
      </w:r>
    </w:p>
    <w:p w:rsidR="00302B81" w:rsidRDefault="00302B81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330" w:rsidRDefault="00B64330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330" w:rsidRPr="00BE14DC" w:rsidRDefault="00B64330" w:rsidP="00B65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6542C" w:rsidTr="00B6542C">
        <w:tc>
          <w:tcPr>
            <w:tcW w:w="3209" w:type="dxa"/>
          </w:tcPr>
          <w:p w:rsidR="00B6542C" w:rsidRPr="00B6542C" w:rsidRDefault="00B6542C" w:rsidP="00B654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42C">
              <w:rPr>
                <w:rFonts w:ascii="Times New Roman" w:hAnsi="Times New Roman" w:cs="Times New Roman"/>
                <w:sz w:val="28"/>
                <w:szCs w:val="28"/>
              </w:rPr>
              <w:t>Рейтинг результативності (досягнення цілей під час вирішення проблем)</w:t>
            </w:r>
          </w:p>
        </w:tc>
        <w:tc>
          <w:tcPr>
            <w:tcW w:w="3210" w:type="dxa"/>
          </w:tcPr>
          <w:p w:rsidR="00B6542C" w:rsidRPr="00B6542C" w:rsidRDefault="00B6542C" w:rsidP="00B654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42C">
              <w:rPr>
                <w:rFonts w:ascii="Times New Roman" w:hAnsi="Times New Roman" w:cs="Times New Roman"/>
                <w:sz w:val="28"/>
                <w:szCs w:val="28"/>
              </w:rPr>
              <w:t>Бал результативності (за чотирибальною системою оцінки)</w:t>
            </w:r>
          </w:p>
        </w:tc>
        <w:tc>
          <w:tcPr>
            <w:tcW w:w="3210" w:type="dxa"/>
          </w:tcPr>
          <w:p w:rsidR="00B6542C" w:rsidRPr="00B6542C" w:rsidRDefault="00B6542C" w:rsidP="00B654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Коментарі щодо присвоєння відповідного балу</w:t>
            </w:r>
          </w:p>
        </w:tc>
      </w:tr>
      <w:tr w:rsidR="00B6542C" w:rsidTr="00B6542C">
        <w:tc>
          <w:tcPr>
            <w:tcW w:w="3209" w:type="dxa"/>
          </w:tcPr>
          <w:p w:rsidR="00B6542C" w:rsidRDefault="009D0240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240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</w:p>
          <w:p w:rsidR="00EC1BB4" w:rsidRPr="009D0240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B6542C" w:rsidRPr="009D0240" w:rsidRDefault="009D0240" w:rsidP="009D02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EC1BB4" w:rsidRDefault="00EC1BB4" w:rsidP="009D02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Прийняття акту.</w:t>
            </w:r>
          </w:p>
          <w:p w:rsidR="00B6542C" w:rsidRPr="009D0240" w:rsidRDefault="009D0240" w:rsidP="009D02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Забезпечує вирішення проблемних питань в повному обсязі на території Павлоградської міської ради</w:t>
            </w:r>
          </w:p>
        </w:tc>
      </w:tr>
      <w:tr w:rsidR="00B6542C" w:rsidTr="00B6542C">
        <w:tc>
          <w:tcPr>
            <w:tcW w:w="3209" w:type="dxa"/>
          </w:tcPr>
          <w:p w:rsidR="009D0240" w:rsidRPr="009D0240" w:rsidRDefault="009D0240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240"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3210" w:type="dxa"/>
          </w:tcPr>
          <w:p w:rsidR="00B6542C" w:rsidRPr="009D0240" w:rsidRDefault="009D0240" w:rsidP="009D02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EC1BB4" w:rsidRDefault="00EC1BB4" w:rsidP="009D02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прийняття проекту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542C" w:rsidRPr="009D0240" w:rsidRDefault="009D0240" w:rsidP="00302B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Неврегульованість питання оформлення документів дозвільного  характеру на території Павлоградської територіальної громади</w:t>
            </w:r>
          </w:p>
        </w:tc>
      </w:tr>
    </w:tbl>
    <w:p w:rsidR="00BE14DC" w:rsidRDefault="00BE14DC" w:rsidP="00BE14D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C1BB4" w:rsidRDefault="00EC1BB4" w:rsidP="003E0E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4330" w:rsidRDefault="00B64330" w:rsidP="003E0E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4330" w:rsidRDefault="00B64330" w:rsidP="003E0E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4330" w:rsidRDefault="00B64330" w:rsidP="003E0E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4330" w:rsidRPr="001806E9" w:rsidRDefault="00B64330" w:rsidP="003E0E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705"/>
        <w:gridCol w:w="2095"/>
        <w:gridCol w:w="2140"/>
      </w:tblGrid>
      <w:tr w:rsidR="001B20A4" w:rsidTr="0057211F">
        <w:tc>
          <w:tcPr>
            <w:tcW w:w="2689" w:type="dxa"/>
          </w:tcPr>
          <w:p w:rsidR="001B20A4" w:rsidRPr="001B20A4" w:rsidRDefault="001B20A4" w:rsidP="001B20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A4">
              <w:rPr>
                <w:rFonts w:ascii="Times New Roman" w:hAnsi="Times New Roman" w:cs="Times New Roman"/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705" w:type="dxa"/>
          </w:tcPr>
          <w:p w:rsidR="001B20A4" w:rsidRPr="001B20A4" w:rsidRDefault="001B20A4" w:rsidP="001B20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A4">
              <w:rPr>
                <w:rFonts w:ascii="Times New Roman" w:hAnsi="Times New Roman" w:cs="Times New Roman"/>
                <w:sz w:val="28"/>
                <w:szCs w:val="28"/>
              </w:rPr>
              <w:t>Вигоди (підсумок)</w:t>
            </w:r>
          </w:p>
        </w:tc>
        <w:tc>
          <w:tcPr>
            <w:tcW w:w="2095" w:type="dxa"/>
          </w:tcPr>
          <w:p w:rsidR="001B20A4" w:rsidRPr="001B20A4" w:rsidRDefault="001B20A4" w:rsidP="001B20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A4">
              <w:rPr>
                <w:rFonts w:ascii="Times New Roman" w:hAnsi="Times New Roman" w:cs="Times New Roman"/>
                <w:sz w:val="28"/>
                <w:szCs w:val="28"/>
              </w:rPr>
              <w:t>Витрати (підсумок)</w:t>
            </w:r>
          </w:p>
        </w:tc>
        <w:tc>
          <w:tcPr>
            <w:tcW w:w="2140" w:type="dxa"/>
          </w:tcPr>
          <w:p w:rsidR="001B20A4" w:rsidRPr="001B20A4" w:rsidRDefault="001B20A4" w:rsidP="001B20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A4">
              <w:rPr>
                <w:rFonts w:ascii="Times New Roman" w:hAnsi="Times New Roman" w:cs="Times New Roman"/>
                <w:sz w:val="28"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1B20A4" w:rsidTr="0057211F">
        <w:tc>
          <w:tcPr>
            <w:tcW w:w="2689" w:type="dxa"/>
          </w:tcPr>
          <w:p w:rsidR="001B20A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BB4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BB4" w:rsidRPr="00EC1BB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Прийняття проекту акту</w:t>
            </w:r>
          </w:p>
        </w:tc>
        <w:tc>
          <w:tcPr>
            <w:tcW w:w="2705" w:type="dxa"/>
          </w:tcPr>
          <w:p w:rsidR="001B20A4" w:rsidRPr="00EC1BB4" w:rsidRDefault="00EC1BB4" w:rsidP="00EC1B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підвищення якості і ефективності заходів з утримання об’єктів благоустрою, поліпшення загального стану об’єктів благоустрою, якість та прозорість у термінах та меті виконання робіт, чіткість, ясність, поетапність проведення (земляних, ремонтних)</w:t>
            </w:r>
          </w:p>
        </w:tc>
        <w:tc>
          <w:tcPr>
            <w:tcW w:w="2095" w:type="dxa"/>
          </w:tcPr>
          <w:p w:rsidR="001B20A4" w:rsidRPr="00EC1BB4" w:rsidRDefault="001B20A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B20A4" w:rsidRPr="00EC1BB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Даний спосіб відповідає вимогам та стандартам діючого законодавства в сфері благоустрою</w:t>
            </w:r>
          </w:p>
        </w:tc>
      </w:tr>
      <w:tr w:rsidR="001B20A4" w:rsidTr="0057211F">
        <w:tc>
          <w:tcPr>
            <w:tcW w:w="2689" w:type="dxa"/>
          </w:tcPr>
          <w:p w:rsidR="001B20A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  <w:p w:rsidR="00EC1BB4" w:rsidRPr="00EC1BB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Неприйняття проекту акту</w:t>
            </w:r>
          </w:p>
        </w:tc>
        <w:tc>
          <w:tcPr>
            <w:tcW w:w="2705" w:type="dxa"/>
          </w:tcPr>
          <w:p w:rsidR="001B20A4" w:rsidRPr="00EC1BB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  <w:tc>
          <w:tcPr>
            <w:tcW w:w="2095" w:type="dxa"/>
          </w:tcPr>
          <w:p w:rsidR="001B20A4" w:rsidRPr="00EC1BB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  <w:tc>
          <w:tcPr>
            <w:tcW w:w="2140" w:type="dxa"/>
          </w:tcPr>
          <w:p w:rsidR="001B20A4" w:rsidRPr="00EC1BB4" w:rsidRDefault="00EC1BB4" w:rsidP="00BE14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Невідповідність діючого законодавству</w:t>
            </w:r>
          </w:p>
        </w:tc>
      </w:tr>
    </w:tbl>
    <w:p w:rsidR="00EC1BB4" w:rsidRDefault="00EC1BB4" w:rsidP="00BE14D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C1BB4" w:rsidRPr="00EC1BB4" w:rsidRDefault="00EC1BB4" w:rsidP="00EC1B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C1BB4">
        <w:rPr>
          <w:rFonts w:ascii="Times New Roman" w:hAnsi="Times New Roman" w:cs="Times New Roman"/>
          <w:b/>
          <w:sz w:val="28"/>
          <w:szCs w:val="28"/>
        </w:rPr>
        <w:t>Механізм та заходи, які забезпечать розв’язання проблеми</w:t>
      </w:r>
    </w:p>
    <w:p w:rsidR="001B20A4" w:rsidRDefault="00EC1BB4" w:rsidP="00572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B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прийнятті запропонованого регуляторного акту будуть діяти наступні м</w:t>
      </w:r>
      <w:r w:rsidR="0057211F">
        <w:rPr>
          <w:rFonts w:ascii="Times New Roman" w:hAnsi="Times New Roman" w:cs="Times New Roman"/>
          <w:sz w:val="28"/>
          <w:szCs w:val="28"/>
        </w:rPr>
        <w:t>еханізми та заходи у сфері благоустрою територій:</w:t>
      </w:r>
    </w:p>
    <w:p w:rsidR="0057211F" w:rsidRDefault="0057211F" w:rsidP="0057211F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покращитеся</w:t>
      </w:r>
      <w:r w:rsidRPr="00CD4FB7">
        <w:rPr>
          <w:rFonts w:ascii="Times New Roman" w:hAnsi="Times New Roman" w:cs="Times New Roman"/>
          <w:sz w:val="28"/>
          <w:szCs w:val="28"/>
        </w:rPr>
        <w:t xml:space="preserve"> стан благоустрою, </w:t>
      </w:r>
      <w:r>
        <w:rPr>
          <w:rFonts w:ascii="Times New Roman" w:hAnsi="Times New Roman" w:cs="Times New Roman"/>
          <w:sz w:val="28"/>
          <w:szCs w:val="28"/>
        </w:rPr>
        <w:t>з наведенням чистоти та порядку;</w:t>
      </w:r>
    </w:p>
    <w:p w:rsidR="0057211F" w:rsidRDefault="0057211F" w:rsidP="0057211F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4FB7">
        <w:rPr>
          <w:rFonts w:ascii="Times New Roman" w:hAnsi="Times New Roman" w:cs="Times New Roman"/>
          <w:sz w:val="28"/>
          <w:szCs w:val="28"/>
        </w:rPr>
        <w:t xml:space="preserve"> встановить єдині вимоги до суб’єктів господарювання, фізичних осіб, забезпечить регулювання у сфері благоустрою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211F" w:rsidRDefault="0057211F" w:rsidP="0057211F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можливість застосування штрафних санкцій за порушення Порядку та правил благоустрою та збільшення надходження до місцевого бюджету у раз стягнення до адміністративної відповідальності.</w:t>
      </w:r>
    </w:p>
    <w:p w:rsidR="0057211F" w:rsidRDefault="0057211F" w:rsidP="00180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11F">
        <w:rPr>
          <w:rFonts w:ascii="Times New Roman" w:hAnsi="Times New Roman" w:cs="Times New Roman"/>
          <w:sz w:val="28"/>
          <w:szCs w:val="28"/>
        </w:rPr>
        <w:t>Додержання вимог регуляторного акту не потребуватиме запровадження державного нагляду та контролю.</w:t>
      </w:r>
    </w:p>
    <w:p w:rsidR="001806E9" w:rsidRDefault="0057211F" w:rsidP="003E0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для впровадження регуляторного акту необхідно здійснити такі організаційні заходи як інформування громадськості про вимоги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шляхом оприлюднення його в засобах масової інформації</w:t>
      </w:r>
      <w:r w:rsidR="001806E9">
        <w:rPr>
          <w:rFonts w:ascii="Times New Roman" w:hAnsi="Times New Roman" w:cs="Times New Roman"/>
          <w:sz w:val="28"/>
          <w:szCs w:val="28"/>
        </w:rPr>
        <w:t>, проведенням виконавчим органам міської ради інфо</w:t>
      </w:r>
      <w:r w:rsidR="003E0E65">
        <w:rPr>
          <w:rFonts w:ascii="Times New Roman" w:hAnsi="Times New Roman" w:cs="Times New Roman"/>
          <w:sz w:val="28"/>
          <w:szCs w:val="28"/>
        </w:rPr>
        <w:t>рмаційно-роз’яснювальної роботи.</w:t>
      </w:r>
    </w:p>
    <w:p w:rsidR="00B64330" w:rsidRDefault="00B64330" w:rsidP="003E0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330" w:rsidRDefault="00B64330" w:rsidP="00B643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B64330" w:rsidRDefault="00B64330" w:rsidP="00B643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806E9" w:rsidRDefault="001806E9" w:rsidP="003E0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прийняття проекту буде забе</w:t>
      </w:r>
      <w:r w:rsidR="008A64D6">
        <w:rPr>
          <w:rFonts w:ascii="Times New Roman" w:hAnsi="Times New Roman" w:cs="Times New Roman"/>
          <w:sz w:val="28"/>
          <w:szCs w:val="28"/>
        </w:rPr>
        <w:t xml:space="preserve">зпечено виконання Закону України </w:t>
      </w:r>
      <w:r>
        <w:rPr>
          <w:rFonts w:ascii="Times New Roman" w:hAnsi="Times New Roman" w:cs="Times New Roman"/>
          <w:sz w:val="28"/>
          <w:szCs w:val="28"/>
        </w:rPr>
        <w:t>«Про благоустрій населених пунктів» та постанова Кабінету Міністрів України від 30.10.2013 № 870 «Про затвердження Типового порядку видачі дозволів на порушення об’єктів благоустрою або відмови, переоформлення, видачі, д</w:t>
      </w:r>
      <w:r w:rsidR="00417814">
        <w:rPr>
          <w:rFonts w:ascii="Times New Roman" w:hAnsi="Times New Roman" w:cs="Times New Roman"/>
          <w:sz w:val="28"/>
          <w:szCs w:val="28"/>
        </w:rPr>
        <w:t xml:space="preserve">ублікатів, анулювання дозволів» (зі змінами), </w:t>
      </w:r>
      <w:r w:rsidR="008A64D6">
        <w:rPr>
          <w:rFonts w:ascii="Times New Roman" w:hAnsi="Times New Roman" w:cs="Times New Roman"/>
          <w:sz w:val="28"/>
          <w:szCs w:val="28"/>
        </w:rPr>
        <w:t>покращення технічного та санітарного стану об’єкту благоустрою, захист інтересів держави, територій громади, суб’єктів у сфері господарювання визначення чітких вимог та заходів, підвищення довіри громадян.</w:t>
      </w:r>
    </w:p>
    <w:p w:rsidR="00241211" w:rsidRDefault="00241211" w:rsidP="00BB6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871" w:rsidRPr="00BB6871" w:rsidRDefault="00BB6871" w:rsidP="00BB68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71">
        <w:rPr>
          <w:rFonts w:ascii="Times New Roman" w:hAnsi="Times New Roman" w:cs="Times New Roman"/>
          <w:b/>
          <w:sz w:val="28"/>
          <w:szCs w:val="28"/>
        </w:rPr>
        <w:t>Визначення показників результативності дії регуляторного акту</w:t>
      </w:r>
    </w:p>
    <w:p w:rsidR="00BB6871" w:rsidRPr="00BB6871" w:rsidRDefault="00BB6871" w:rsidP="00BB687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B6871" w:rsidRDefault="00BB6871" w:rsidP="003E0E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набрання чинності регуляторного акту його результативності визначатиметься такими кількісними показниками:</w:t>
      </w:r>
    </w:p>
    <w:p w:rsidR="003E0E65" w:rsidRDefault="003E0E65" w:rsidP="003E0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-розмір надходжень до місцевого бюджету і місцевого цільового фонду, пов’язаних з дією акту не прогнозується;</w:t>
      </w:r>
    </w:p>
    <w:p w:rsidR="003E0E65" w:rsidRDefault="003E0E65" w:rsidP="003E0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кількість суб’єктів господарювання та/або фізичних осіб, на яких поширюватиметься дія акту – на всіх суб’єктах господарювання та/або фізичних осіб, які планують проведення земляних робітна об’єктах благоустрою.</w:t>
      </w:r>
    </w:p>
    <w:p w:rsidR="003E0E65" w:rsidRDefault="003E0E65" w:rsidP="003E0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рівень поінформованості суб’єктів господарювання та/або фізичних осіб з основних положень – високий.</w:t>
      </w:r>
    </w:p>
    <w:p w:rsidR="003E0E65" w:rsidRDefault="003E0E65" w:rsidP="003E0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Результативність буде відстежуватись шляхом проведення аналізу надання дозволів на порушення об’єктів благоустрою, кількості звернень.</w:t>
      </w:r>
    </w:p>
    <w:p w:rsidR="00881EB2" w:rsidRDefault="00881EB2" w:rsidP="003E0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EB2" w:rsidRDefault="00881EB2" w:rsidP="00881EB2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B2">
        <w:rPr>
          <w:rFonts w:ascii="Times New Roman" w:hAnsi="Times New Roman" w:cs="Times New Roman"/>
          <w:b/>
          <w:sz w:val="28"/>
          <w:szCs w:val="28"/>
        </w:rPr>
        <w:t>Заходи, за допомогою яких буде здійснюватися відстеження результативності регуляторного акту</w:t>
      </w:r>
    </w:p>
    <w:p w:rsidR="00881EB2" w:rsidRDefault="00881EB2" w:rsidP="00881EB2"/>
    <w:p w:rsidR="00881EB2" w:rsidRDefault="00881EB2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EB2">
        <w:rPr>
          <w:rFonts w:ascii="Times New Roman" w:hAnsi="Times New Roman" w:cs="Times New Roman"/>
          <w:sz w:val="28"/>
          <w:szCs w:val="28"/>
        </w:rPr>
        <w:t xml:space="preserve">Заходи щодо відстеження результативності регуляторного </w:t>
      </w:r>
      <w:proofErr w:type="spellStart"/>
      <w:r w:rsidRPr="00881EB2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881EB2">
        <w:rPr>
          <w:rFonts w:ascii="Times New Roman" w:hAnsi="Times New Roman" w:cs="Times New Roman"/>
          <w:sz w:val="28"/>
          <w:szCs w:val="28"/>
        </w:rPr>
        <w:t xml:space="preserve"> здійснюється управління комунального господарства та будівництва Павлоградської міської ради.</w:t>
      </w:r>
    </w:p>
    <w:p w:rsidR="00881EB2" w:rsidRDefault="00881EB2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відстеження будуть використовуватись статистичні дані </w:t>
      </w:r>
      <w:r w:rsidRPr="00881EB2">
        <w:rPr>
          <w:rFonts w:ascii="Times New Roman" w:hAnsi="Times New Roman" w:cs="Times New Roman"/>
          <w:sz w:val="28"/>
          <w:szCs w:val="28"/>
        </w:rPr>
        <w:t>управління комунального господарства та будівництва Павлоградської міської ра</w:t>
      </w:r>
      <w:r>
        <w:rPr>
          <w:rFonts w:ascii="Times New Roman" w:hAnsi="Times New Roman" w:cs="Times New Roman"/>
          <w:sz w:val="28"/>
          <w:szCs w:val="28"/>
        </w:rPr>
        <w:t>ди за відповідний період, що передує даті початку виконання заходів з відстеженням.</w:t>
      </w:r>
    </w:p>
    <w:p w:rsidR="00881EB2" w:rsidRDefault="00881EB2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Відносно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здійснюється базове, повторне та періодичне відстеження його результативності.</w:t>
      </w:r>
    </w:p>
    <w:p w:rsidR="00881EB2" w:rsidRDefault="00881EB2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Базове відстеження результативності дії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проведена одразу після набрання чинності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4330" w:rsidRPr="007827AF" w:rsidRDefault="00881EB2" w:rsidP="007827A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Повторне відстеження планується провести через рік після </w:t>
      </w:r>
      <w:r w:rsidR="00A076FE">
        <w:rPr>
          <w:rFonts w:ascii="Times New Roman" w:hAnsi="Times New Roman" w:cs="Times New Roman"/>
          <w:sz w:val="28"/>
          <w:szCs w:val="28"/>
        </w:rPr>
        <w:t>набуття чинності регуляторного акту.</w:t>
      </w:r>
    </w:p>
    <w:p w:rsidR="00A076FE" w:rsidRDefault="00A076FE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Періодичне відстеження планується проводити раз на три роки починаючи від дня закінчення заходів з повторного відстеження.</w:t>
      </w:r>
    </w:p>
    <w:p w:rsidR="007827AF" w:rsidRDefault="00A076FE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проведення відстеження буде можливо порівняти  показники результативності дії регуляторного акту. У разі виявлення </w:t>
      </w:r>
    </w:p>
    <w:p w:rsidR="007827AF" w:rsidRDefault="007827AF" w:rsidP="007827A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A076FE" w:rsidRDefault="00A076FE" w:rsidP="00881EB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неврегульованих та проблемних  питань, вони будуть усунені шляхом відповідних змін до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6FE" w:rsidRPr="00B64330" w:rsidRDefault="00A076FE" w:rsidP="00B643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Розробник проекту рішення та аналізу регуляторного впливу на нього – управління комунального господарства та будівництва Павлоградської міської ради.</w:t>
      </w: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Зворотній зв'язок:</w:t>
      </w: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>Адреса:</w:t>
      </w:r>
      <w:r w:rsidR="00302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9DC">
        <w:rPr>
          <w:rFonts w:ascii="Times New Roman" w:hAnsi="Times New Roman" w:cs="Times New Roman"/>
          <w:b/>
          <w:sz w:val="28"/>
          <w:szCs w:val="28"/>
        </w:rPr>
        <w:t>514</w:t>
      </w:r>
      <w:r w:rsidR="00302B81">
        <w:rPr>
          <w:rFonts w:ascii="Times New Roman" w:hAnsi="Times New Roman" w:cs="Times New Roman"/>
          <w:b/>
          <w:sz w:val="28"/>
          <w:szCs w:val="28"/>
        </w:rPr>
        <w:t>00</w:t>
      </w:r>
      <w:r w:rsidRPr="009D09DC">
        <w:rPr>
          <w:rFonts w:ascii="Times New Roman" w:hAnsi="Times New Roman" w:cs="Times New Roman"/>
          <w:b/>
          <w:sz w:val="28"/>
          <w:szCs w:val="28"/>
        </w:rPr>
        <w:t>, вул. Соборна, 115 (4 поверх), м. Павлоград</w:t>
      </w: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комунального господарства та будівництва Павлоградської міської ради – </w:t>
      </w:r>
      <w:proofErr w:type="spellStart"/>
      <w:r w:rsidRPr="009D09DC">
        <w:rPr>
          <w:rFonts w:ascii="Times New Roman" w:hAnsi="Times New Roman" w:cs="Times New Roman"/>
          <w:b/>
          <w:sz w:val="28"/>
          <w:szCs w:val="28"/>
        </w:rPr>
        <w:t>Завгородній</w:t>
      </w:r>
      <w:proofErr w:type="spellEnd"/>
      <w:r w:rsidRPr="009D09DC">
        <w:rPr>
          <w:rFonts w:ascii="Times New Roman" w:hAnsi="Times New Roman" w:cs="Times New Roman"/>
          <w:b/>
          <w:sz w:val="28"/>
          <w:szCs w:val="28"/>
        </w:rPr>
        <w:t xml:space="preserve"> Андрій Юрійович</w:t>
      </w: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FE" w:rsidRPr="009D09DC" w:rsidRDefault="00302B81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 (050) 880-72-98, (</w:t>
      </w:r>
      <w:r w:rsidR="00A076FE" w:rsidRPr="009D09DC">
        <w:rPr>
          <w:rFonts w:ascii="Times New Roman" w:hAnsi="Times New Roman" w:cs="Times New Roman"/>
          <w:b/>
          <w:sz w:val="28"/>
          <w:szCs w:val="28"/>
        </w:rPr>
        <w:t>050) 880-23-88.</w:t>
      </w:r>
    </w:p>
    <w:p w:rsidR="00A076FE" w:rsidRPr="009D09DC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FE" w:rsidRPr="00302B81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09DC">
        <w:rPr>
          <w:rFonts w:ascii="Times New Roman" w:hAnsi="Times New Roman" w:cs="Times New Roman"/>
          <w:b/>
          <w:sz w:val="28"/>
          <w:szCs w:val="28"/>
        </w:rPr>
        <w:t xml:space="preserve">Електронна адреса: </w:t>
      </w:r>
      <w:hyperlink r:id="rId5" w:history="1">
        <w:r w:rsidRPr="009D09D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ukgtabpalograd</w:t>
        </w:r>
        <w:r w:rsidRPr="00302B81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.@</w:t>
        </w:r>
        <w:r w:rsidRPr="009D09D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302B81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r w:rsidRPr="009D09D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</w:p>
    <w:p w:rsidR="00A076FE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330" w:rsidRDefault="00B64330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330" w:rsidRPr="00302B81" w:rsidRDefault="00B64330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9DC" w:rsidRPr="009D09DC" w:rsidRDefault="009D09DC" w:rsidP="009D09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комунального </w:t>
      </w:r>
    </w:p>
    <w:p w:rsidR="009D09DC" w:rsidRPr="009D09DC" w:rsidRDefault="009D09DC" w:rsidP="009D09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 та будівництва                                               Андрій ЗАВГОРОДНІЙ</w:t>
      </w:r>
    </w:p>
    <w:p w:rsidR="00A076FE" w:rsidRDefault="00A076FE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9DC" w:rsidRDefault="009D09DC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9DC" w:rsidRDefault="009D09DC" w:rsidP="00A076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9DC" w:rsidRDefault="009D09DC" w:rsidP="009D09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9D09DC" w:rsidRPr="009D09DC" w:rsidRDefault="009D09DC" w:rsidP="009D09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                                    Олександр РАДІОНОВ        </w:t>
      </w:r>
    </w:p>
    <w:sectPr w:rsidR="009D09DC" w:rsidRPr="009D0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2F1"/>
    <w:multiLevelType w:val="multilevel"/>
    <w:tmpl w:val="014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1603AB"/>
    <w:multiLevelType w:val="hybridMultilevel"/>
    <w:tmpl w:val="0F1C2570"/>
    <w:lvl w:ilvl="0" w:tplc="2C52A324">
      <w:start w:val="2"/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98"/>
    <w:rsid w:val="00032B51"/>
    <w:rsid w:val="000B50FD"/>
    <w:rsid w:val="001164E1"/>
    <w:rsid w:val="00123E43"/>
    <w:rsid w:val="00147829"/>
    <w:rsid w:val="001806E9"/>
    <w:rsid w:val="001B20A4"/>
    <w:rsid w:val="00241211"/>
    <w:rsid w:val="00302B81"/>
    <w:rsid w:val="003E0E65"/>
    <w:rsid w:val="00417814"/>
    <w:rsid w:val="00543CDB"/>
    <w:rsid w:val="0057211F"/>
    <w:rsid w:val="005C5593"/>
    <w:rsid w:val="007171EF"/>
    <w:rsid w:val="007827AF"/>
    <w:rsid w:val="007902B5"/>
    <w:rsid w:val="007F46FF"/>
    <w:rsid w:val="00881EB2"/>
    <w:rsid w:val="008A5BF5"/>
    <w:rsid w:val="008A64D6"/>
    <w:rsid w:val="00982242"/>
    <w:rsid w:val="00990633"/>
    <w:rsid w:val="009C7439"/>
    <w:rsid w:val="009D0240"/>
    <w:rsid w:val="009D09DC"/>
    <w:rsid w:val="00A076FE"/>
    <w:rsid w:val="00A269A2"/>
    <w:rsid w:val="00A26BE6"/>
    <w:rsid w:val="00A3477F"/>
    <w:rsid w:val="00A53112"/>
    <w:rsid w:val="00B27898"/>
    <w:rsid w:val="00B64330"/>
    <w:rsid w:val="00B6542C"/>
    <w:rsid w:val="00BB6871"/>
    <w:rsid w:val="00BC33D9"/>
    <w:rsid w:val="00BE14DC"/>
    <w:rsid w:val="00C83C01"/>
    <w:rsid w:val="00CD4FB7"/>
    <w:rsid w:val="00D87EEF"/>
    <w:rsid w:val="00E710B7"/>
    <w:rsid w:val="00EC1BB4"/>
    <w:rsid w:val="00ED2A58"/>
    <w:rsid w:val="00FC297B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4768"/>
  <w15:chartTrackingRefBased/>
  <w15:docId w15:val="{E84D1BAB-CDAB-4C7C-BCAA-A3C545A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E1"/>
    <w:pPr>
      <w:ind w:left="720"/>
      <w:contextualSpacing/>
    </w:pPr>
  </w:style>
  <w:style w:type="character" w:customStyle="1" w:styleId="fontstyle01">
    <w:name w:val="fontstyle01"/>
    <w:basedOn w:val="a0"/>
    <w:rsid w:val="007171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9C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76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gtabpalograd.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8202</Words>
  <Characters>4676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О.А. Задорожня</dc:creator>
  <cp:keywords/>
  <dc:description/>
  <cp:lastModifiedBy>О.А. Задорожня</cp:lastModifiedBy>
  <cp:revision>21</cp:revision>
  <cp:lastPrinted>2026-01-27T06:33:00Z</cp:lastPrinted>
  <dcterms:created xsi:type="dcterms:W3CDTF">2025-10-30T12:06:00Z</dcterms:created>
  <dcterms:modified xsi:type="dcterms:W3CDTF">2026-01-27T06:42:00Z</dcterms:modified>
</cp:coreProperties>
</file>