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68" w:rsidRPr="00094E22" w:rsidRDefault="003B7B68" w:rsidP="003B7B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E22">
        <w:rPr>
          <w:rFonts w:ascii="Times New Roman" w:hAnsi="Times New Roman" w:cs="Times New Roman"/>
          <w:b/>
          <w:sz w:val="24"/>
          <w:szCs w:val="24"/>
        </w:rPr>
        <w:t>Технічне завдання</w:t>
      </w:r>
    </w:p>
    <w:tbl>
      <w:tblPr>
        <w:tblW w:w="150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82"/>
      </w:tblGrid>
      <w:tr w:rsidR="003B7B68" w:rsidRPr="00094E22" w:rsidTr="001D6653">
        <w:trPr>
          <w:jc w:val="center"/>
        </w:trPr>
        <w:tc>
          <w:tcPr>
            <w:tcW w:w="15082" w:type="dxa"/>
            <w:tcBorders>
              <w:top w:val="nil"/>
              <w:left w:val="nil"/>
              <w:bottom w:val="nil"/>
              <w:right w:val="nil"/>
            </w:tcBorders>
          </w:tcPr>
          <w:p w:rsidR="00FF5AF9" w:rsidRPr="00094E22" w:rsidRDefault="00FF5AF9" w:rsidP="00F95D8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z w:val="24"/>
                <w:szCs w:val="24"/>
              </w:rPr>
              <w:t xml:space="preserve">«Поточний ремонт </w:t>
            </w:r>
            <w:r w:rsidR="00F95D8A">
              <w:rPr>
                <w:rFonts w:ascii="Times New Roman" w:hAnsi="Times New Roman" w:cs="Times New Roman"/>
                <w:sz w:val="24"/>
                <w:szCs w:val="24"/>
              </w:rPr>
              <w:t xml:space="preserve">дороги по </w:t>
            </w:r>
            <w:proofErr w:type="spellStart"/>
            <w:r w:rsidR="00F95D8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476B43">
              <w:rPr>
                <w:rFonts w:ascii="Times New Roman" w:hAnsi="Times New Roman" w:cs="Times New Roman"/>
                <w:sz w:val="24"/>
                <w:szCs w:val="24"/>
              </w:rPr>
              <w:t>Тимофіївська</w:t>
            </w:r>
            <w:proofErr w:type="spellEnd"/>
            <w:r w:rsidR="00F9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E22">
              <w:rPr>
                <w:rFonts w:ascii="Times New Roman" w:hAnsi="Times New Roman" w:cs="Times New Roman"/>
                <w:sz w:val="24"/>
                <w:szCs w:val="24"/>
              </w:rPr>
              <w:t>в   м. Павлоград»</w:t>
            </w:r>
          </w:p>
          <w:p w:rsidR="003B7B68" w:rsidRPr="00094E22" w:rsidRDefault="003B7B68" w:rsidP="001D665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Відомість обсягів робіт </w:t>
            </w:r>
          </w:p>
          <w:p w:rsidR="003B7B68" w:rsidRPr="00094E22" w:rsidRDefault="003B7B68" w:rsidP="001D66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6"/>
        <w:gridCol w:w="1778"/>
        <w:gridCol w:w="2144"/>
        <w:gridCol w:w="1894"/>
      </w:tblGrid>
      <w:tr w:rsidR="005626C6" w:rsidRPr="00094E22" w:rsidTr="00EF111E">
        <w:tc>
          <w:tcPr>
            <w:tcW w:w="3956" w:type="dxa"/>
            <w:vAlign w:val="center"/>
          </w:tcPr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Найменування робіт і витрат</w:t>
            </w:r>
          </w:p>
        </w:tc>
        <w:tc>
          <w:tcPr>
            <w:tcW w:w="1778" w:type="dxa"/>
            <w:vAlign w:val="center"/>
          </w:tcPr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Одиниця</w:t>
            </w:r>
          </w:p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виміру</w:t>
            </w:r>
          </w:p>
        </w:tc>
        <w:tc>
          <w:tcPr>
            <w:tcW w:w="2144" w:type="dxa"/>
            <w:vAlign w:val="center"/>
          </w:tcPr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Кількість</w:t>
            </w:r>
          </w:p>
        </w:tc>
        <w:tc>
          <w:tcPr>
            <w:tcW w:w="1894" w:type="dxa"/>
          </w:tcPr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Примітка</w:t>
            </w: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Холодне фрезерування покриття фрезою на базі трактора, при глибині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фрезерування: 40 мм</w:t>
            </w:r>
          </w:p>
        </w:tc>
        <w:tc>
          <w:tcPr>
            <w:tcW w:w="1778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144" w:type="dxa"/>
          </w:tcPr>
          <w:p w:rsidR="00F95D8A" w:rsidRPr="00F95D8A" w:rsidRDefault="00476B43" w:rsidP="00C13B98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</w:t>
            </w:r>
            <w:r w:rsidR="00C13B98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На кожні 10 мм зміни глибини додавати або виключати за нормою 2-36-4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(до 50мм)</w:t>
            </w:r>
          </w:p>
        </w:tc>
        <w:tc>
          <w:tcPr>
            <w:tcW w:w="1778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144" w:type="dxa"/>
          </w:tcPr>
          <w:p w:rsidR="00F95D8A" w:rsidRPr="00F95D8A" w:rsidRDefault="00476B43" w:rsidP="00C13B98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</w:t>
            </w:r>
            <w:r w:rsidR="00C13B98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Навантаження </w:t>
            </w:r>
            <w:proofErr w:type="spellStart"/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асфальтогрануляту</w:t>
            </w:r>
            <w:proofErr w:type="spellEnd"/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вручну</w:t>
            </w:r>
          </w:p>
        </w:tc>
        <w:tc>
          <w:tcPr>
            <w:tcW w:w="1778" w:type="dxa"/>
          </w:tcPr>
          <w:p w:rsidR="00F95D8A" w:rsidRPr="00F95D8A" w:rsidRDefault="00F95D8A" w:rsidP="002725EC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т </w:t>
            </w:r>
          </w:p>
        </w:tc>
        <w:tc>
          <w:tcPr>
            <w:tcW w:w="2144" w:type="dxa"/>
          </w:tcPr>
          <w:p w:rsidR="00F95D8A" w:rsidRPr="00F95D8A" w:rsidRDefault="00C13B98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1,56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476B43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Перевезення </w:t>
            </w:r>
            <w:proofErr w:type="spellStart"/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асфальтогрануляту</w:t>
            </w:r>
            <w:proofErr w:type="spellEnd"/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самоскидами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[</w:t>
            </w:r>
            <w:r w:rsid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3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,0 км]</w:t>
            </w:r>
          </w:p>
        </w:tc>
        <w:tc>
          <w:tcPr>
            <w:tcW w:w="1778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т</w:t>
            </w:r>
          </w:p>
        </w:tc>
        <w:tc>
          <w:tcPr>
            <w:tcW w:w="2144" w:type="dxa"/>
          </w:tcPr>
          <w:p w:rsidR="00F95D8A" w:rsidRPr="00F95D8A" w:rsidRDefault="00C13B98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1,56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117529" w:rsidRPr="00094E22" w:rsidTr="00476B43">
        <w:trPr>
          <w:trHeight w:val="1585"/>
        </w:trPr>
        <w:tc>
          <w:tcPr>
            <w:tcW w:w="3956" w:type="dxa"/>
          </w:tcPr>
          <w:p w:rsidR="00117529" w:rsidRPr="00F95D8A" w:rsidRDefault="00117529" w:rsidP="00117529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Ліквідація вибоїн асфальтобетонного покриття без розламування старого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br/>
              <w:t xml:space="preserve">покриття площею ремонту до 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3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м2, при товщині шару до 50 мм</w:t>
            </w:r>
          </w:p>
        </w:tc>
        <w:tc>
          <w:tcPr>
            <w:tcW w:w="1778" w:type="dxa"/>
          </w:tcPr>
          <w:p w:rsidR="00117529" w:rsidRPr="00F95D8A" w:rsidRDefault="00117529" w:rsidP="00117529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 площі фактичного ремонту</w:t>
            </w:r>
          </w:p>
        </w:tc>
        <w:tc>
          <w:tcPr>
            <w:tcW w:w="2144" w:type="dxa"/>
          </w:tcPr>
          <w:p w:rsidR="00117529" w:rsidRDefault="00117529" w:rsidP="00C13B98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1</w:t>
            </w:r>
            <w:r w:rsidR="00C13B98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:rsidR="00117529" w:rsidRPr="00F95D8A" w:rsidRDefault="00117529" w:rsidP="00117529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95D8A" w:rsidRPr="00094E22" w:rsidTr="00476B43">
        <w:trPr>
          <w:trHeight w:val="1585"/>
        </w:trPr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Ліквідація вибоїн асфальтобетонного покриття без розламування старого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br/>
              <w:t>покриття площею ремонту до 10 м2, при товщині шару до 50 мм</w:t>
            </w:r>
          </w:p>
        </w:tc>
        <w:tc>
          <w:tcPr>
            <w:tcW w:w="1778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 площі фактичного ремонту</w:t>
            </w:r>
          </w:p>
        </w:tc>
        <w:tc>
          <w:tcPr>
            <w:tcW w:w="2144" w:type="dxa"/>
          </w:tcPr>
          <w:p w:rsidR="00F95D8A" w:rsidRPr="00F95D8A" w:rsidRDefault="00117529" w:rsidP="00C13B98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1</w:t>
            </w:r>
            <w:r w:rsidR="00C13B98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76B43" w:rsidRPr="00094E22" w:rsidTr="00B919ED">
        <w:tc>
          <w:tcPr>
            <w:tcW w:w="3956" w:type="dxa"/>
          </w:tcPr>
          <w:p w:rsidR="00476B43" w:rsidRPr="00476B43" w:rsidRDefault="00476B43" w:rsidP="00476B43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Знімання асфальтобетонних покриттів доріг за допомогою машин для холодного фрезерування асфальтобетонних покриттів шириною фрезерування 2100 мм, глибина фрезерування 50 мм</w:t>
            </w:r>
          </w:p>
        </w:tc>
        <w:tc>
          <w:tcPr>
            <w:tcW w:w="1778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144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235</w:t>
            </w:r>
          </w:p>
        </w:tc>
        <w:tc>
          <w:tcPr>
            <w:tcW w:w="1894" w:type="dxa"/>
          </w:tcPr>
          <w:p w:rsidR="00476B43" w:rsidRPr="00F95D8A" w:rsidRDefault="00476B43" w:rsidP="00476B4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76B43" w:rsidRPr="00094E22" w:rsidTr="00B919ED">
        <w:tc>
          <w:tcPr>
            <w:tcW w:w="3956" w:type="dxa"/>
          </w:tcPr>
          <w:p w:rsidR="00476B43" w:rsidRPr="00476B43" w:rsidRDefault="00476B43" w:rsidP="00476B43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Перевезення </w:t>
            </w:r>
            <w:proofErr w:type="spellStart"/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асфальтогранулята</w:t>
            </w:r>
            <w:proofErr w:type="spellEnd"/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самоскидами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br/>
              <w:t>[3</w:t>
            </w: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,0 км]</w:t>
            </w:r>
          </w:p>
        </w:tc>
        <w:tc>
          <w:tcPr>
            <w:tcW w:w="1778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т</w:t>
            </w:r>
          </w:p>
        </w:tc>
        <w:tc>
          <w:tcPr>
            <w:tcW w:w="2144" w:type="dxa"/>
          </w:tcPr>
          <w:p w:rsidR="00476B43" w:rsidRPr="00476B43" w:rsidRDefault="00812669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19,74</w:t>
            </w:r>
          </w:p>
        </w:tc>
        <w:tc>
          <w:tcPr>
            <w:tcW w:w="1894" w:type="dxa"/>
          </w:tcPr>
          <w:p w:rsidR="00476B43" w:rsidRPr="00F95D8A" w:rsidRDefault="00476B43" w:rsidP="00476B4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76B43" w:rsidRPr="00094E22" w:rsidTr="00B919ED">
        <w:tc>
          <w:tcPr>
            <w:tcW w:w="3956" w:type="dxa"/>
          </w:tcPr>
          <w:p w:rsidR="00476B43" w:rsidRPr="00476B43" w:rsidRDefault="00476B43" w:rsidP="00476B43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Розливання в`яжучих матеріалів</w:t>
            </w:r>
          </w:p>
        </w:tc>
        <w:tc>
          <w:tcPr>
            <w:tcW w:w="1778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т</w:t>
            </w:r>
          </w:p>
        </w:tc>
        <w:tc>
          <w:tcPr>
            <w:tcW w:w="2144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0,094</w:t>
            </w:r>
          </w:p>
        </w:tc>
        <w:tc>
          <w:tcPr>
            <w:tcW w:w="1894" w:type="dxa"/>
          </w:tcPr>
          <w:p w:rsidR="00476B43" w:rsidRPr="00F95D8A" w:rsidRDefault="00476B43" w:rsidP="00476B4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76B43" w:rsidRPr="00094E22" w:rsidTr="00B919ED">
        <w:tc>
          <w:tcPr>
            <w:tcW w:w="3956" w:type="dxa"/>
          </w:tcPr>
          <w:p w:rsidR="00476B43" w:rsidRDefault="00476B43" w:rsidP="00476B43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Улаштування покриттів товщиною 4 см із гарячих асфальтобетонних сумішей</w:t>
            </w:r>
          </w:p>
          <w:p w:rsidR="00476B43" w:rsidRPr="002E6180" w:rsidRDefault="00476B43" w:rsidP="00476B43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144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235</w:t>
            </w:r>
          </w:p>
        </w:tc>
        <w:tc>
          <w:tcPr>
            <w:tcW w:w="1894" w:type="dxa"/>
          </w:tcPr>
          <w:p w:rsidR="00476B43" w:rsidRPr="00F95D8A" w:rsidRDefault="00476B43" w:rsidP="00476B4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76B43" w:rsidRPr="00094E22" w:rsidTr="00B919ED">
        <w:tc>
          <w:tcPr>
            <w:tcW w:w="3956" w:type="dxa"/>
          </w:tcPr>
          <w:p w:rsidR="00476B43" w:rsidRPr="002E6180" w:rsidRDefault="00476B43" w:rsidP="00476B43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z w:val="24"/>
                <w:szCs w:val="24"/>
              </w:rPr>
              <w:t>На кожні 0,5 см зміни 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щини шару додавати  (до 5см)</w:t>
            </w:r>
          </w:p>
        </w:tc>
        <w:tc>
          <w:tcPr>
            <w:tcW w:w="1778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144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235</w:t>
            </w:r>
          </w:p>
        </w:tc>
        <w:tc>
          <w:tcPr>
            <w:tcW w:w="1894" w:type="dxa"/>
          </w:tcPr>
          <w:p w:rsidR="00476B43" w:rsidRPr="00F95D8A" w:rsidRDefault="00476B43" w:rsidP="00476B4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</w:tbl>
    <w:p w:rsidR="00505213" w:rsidRPr="00505213" w:rsidRDefault="00505213" w:rsidP="00505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213">
        <w:rPr>
          <w:rFonts w:ascii="Times New Roman" w:hAnsi="Times New Roman" w:cs="Times New Roman"/>
          <w:b/>
          <w:sz w:val="28"/>
          <w:szCs w:val="28"/>
        </w:rPr>
        <w:t>Перелік кваліфікаційних вимог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Роботи повинні виконуватись з дотриманням ДБН (в т.ч. ДБН А.3.1-5:2016 «Організація будівельного виробництва» та ДБН А.3.2-2-2009 «Система стандартів безпеки праці. Охорона праці і промислова безпека в будівництві. Основні положення») та інших нормативно-правових актів в сфері будівництва.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Роботи і матеріальні ресурси, що використовуються для їх виконання, повинні відповідати державним стандартам, будівельним нормам (в т.ч. ДБН В.2.3-5:2018 «Вулиці та дороги населених пунктів», </w:t>
      </w:r>
      <w:r w:rsidR="002725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725EC" w:rsidRPr="00272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ДСТУ 8747:2025 «</w:t>
      </w:r>
      <w:r w:rsidR="002725EC" w:rsidRPr="002725EC">
        <w:rPr>
          <w:rFonts w:ascii="Times New Roman" w:hAnsi="Times New Roman" w:cs="Times New Roman"/>
          <w:sz w:val="24"/>
          <w:szCs w:val="24"/>
        </w:rPr>
        <w:t>Автомобільні дороги загального користування. Види та переліки робіт з ремонтувань та експлуатаційного утримування»,</w:t>
      </w:r>
      <w:r w:rsidR="002725EC">
        <w:t xml:space="preserve"> </w:t>
      </w: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ДБН В.1.1-7:2016 </w:t>
      </w: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«Пожежна безпека об’єктів будівництва. Загальні вимоги»), Державним санітарним правилам і нормам та іншим нормативним документам.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Всі матеріали, обладнання і роботи, включені у тендерну пропозицію, повинні повністю відповідати відповідним міжнародним і вітчизняним правилам і стандартам. Ціни на матеріально-технічні ресурси повинні бути економічно обґрунтованими.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Гарантійний термін на матеріали, вироби, конструкції та обладнання, які були застосовані при виконанні робіт на об’єкті, встановлюється у відповідності з вимогами чинного законодавства та згідно гарантії заводу-виробника.</w:t>
      </w:r>
    </w:p>
    <w:p w:rsidR="00F95D8A" w:rsidRPr="00F95D8A" w:rsidRDefault="00CE1522" w:rsidP="002725EC">
      <w:pPr>
        <w:tabs>
          <w:tab w:val="left" w:pos="1007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33941833"/>
      <w:r w:rsidRPr="00F95D8A">
        <w:rPr>
          <w:rFonts w:ascii="Times New Roman" w:hAnsi="Times New Roman"/>
          <w:sz w:val="24"/>
          <w:szCs w:val="24"/>
        </w:rPr>
        <w:t>Гарантія якості наданих послуг</w:t>
      </w:r>
      <w:r w:rsidR="00F95D8A" w:rsidRPr="00F95D8A">
        <w:rPr>
          <w:rFonts w:ascii="Times New Roman" w:hAnsi="Times New Roman"/>
          <w:sz w:val="24"/>
          <w:szCs w:val="24"/>
        </w:rPr>
        <w:t>: ліквідація вибоїн – 12 (дванадцять) місяців, з дня підписання актів про надання послуг</w:t>
      </w:r>
      <w:r w:rsidR="00476B43">
        <w:rPr>
          <w:rFonts w:ascii="Times New Roman" w:hAnsi="Times New Roman"/>
          <w:sz w:val="24"/>
          <w:szCs w:val="24"/>
        </w:rPr>
        <w:t>, улаштування асфальтобетонного покриття -36</w:t>
      </w:r>
      <w:r w:rsidR="00DA52E3">
        <w:rPr>
          <w:rFonts w:ascii="Times New Roman" w:hAnsi="Times New Roman"/>
          <w:sz w:val="24"/>
          <w:szCs w:val="24"/>
        </w:rPr>
        <w:t xml:space="preserve"> </w:t>
      </w:r>
      <w:r w:rsidR="00476B43">
        <w:rPr>
          <w:rFonts w:ascii="Times New Roman" w:hAnsi="Times New Roman"/>
          <w:sz w:val="24"/>
          <w:szCs w:val="24"/>
        </w:rPr>
        <w:t xml:space="preserve">(тридцять шість) </w:t>
      </w:r>
      <w:r w:rsidR="00476B43" w:rsidRPr="00F95D8A">
        <w:rPr>
          <w:rFonts w:ascii="Times New Roman" w:hAnsi="Times New Roman"/>
          <w:sz w:val="24"/>
          <w:szCs w:val="24"/>
        </w:rPr>
        <w:t>з дня підписання актів про надання послуг</w:t>
      </w:r>
      <w:r w:rsidR="00476B43">
        <w:rPr>
          <w:rFonts w:ascii="Times New Roman" w:hAnsi="Times New Roman"/>
          <w:sz w:val="24"/>
          <w:szCs w:val="24"/>
        </w:rPr>
        <w:t>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Місце розташування матеріально-технічної бази, обладнання та трудових ресурсів, які Виконавець буде залучати до виконання договору, повинно дозволити у повному обсязі виконати завдання Замовника.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Вартість тендерної пропозиції повинна враховувати вартість використання обладнання, паливо-мастильних матеріалів, транспортних витрат, витратних матеріалів та інших витрат, згідно з чинним законодавством.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Заправка, технічне обслуговування, ремонт техніки забезпечується Виконавцем послуги.</w:t>
      </w:r>
    </w:p>
    <w:p w:rsidR="00505213" w:rsidRPr="00505213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Витрати на транспортування обладнання, працівників до місця надання послуг покладаються на Виконавця та мають бути враховані при наданні пропозиції (якщо таке передбачається).</w:t>
      </w:r>
      <w:bookmarkStart w:id="1" w:name="_Hlk133941853"/>
      <w:bookmarkEnd w:id="0"/>
    </w:p>
    <w:p w:rsidR="003834C0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9818B2">
        <w:rPr>
          <w:rFonts w:ascii="Times New Roman" w:hAnsi="Times New Roman"/>
          <w:szCs w:val="24"/>
          <w:lang w:val="uk-UA"/>
        </w:rPr>
        <w:t xml:space="preserve">При наданні послуг повинні використовуватися асфальтобетонні суміші </w:t>
      </w:r>
      <w:r w:rsidR="00970A15">
        <w:rPr>
          <w:rFonts w:ascii="Times New Roman" w:hAnsi="Times New Roman"/>
          <w:szCs w:val="24"/>
          <w:lang w:val="uk-UA"/>
        </w:rPr>
        <w:t>зазначені в тендерній документації</w:t>
      </w:r>
      <w:r w:rsidRPr="009818B2">
        <w:rPr>
          <w:rFonts w:ascii="Times New Roman" w:hAnsi="Times New Roman"/>
          <w:szCs w:val="24"/>
          <w:lang w:val="uk-UA"/>
        </w:rPr>
        <w:t>.</w:t>
      </w:r>
      <w:r w:rsidRPr="00517769">
        <w:rPr>
          <w:rFonts w:ascii="Times New Roman" w:hAnsi="Times New Roman"/>
          <w:szCs w:val="24"/>
          <w:lang w:val="uk-UA"/>
        </w:rPr>
        <w:t xml:space="preserve"> Якісні, технологічні та фізико-механічні показники асфальтобетонних сумішей, що використовуватимуться при виконанні ремонтних робіт, повинні відповідати вимогам передбаченим згідно ДСТУ Б В.2.7-119:2011</w:t>
      </w:r>
      <w:r w:rsidR="002725EC">
        <w:rPr>
          <w:rFonts w:ascii="Times New Roman" w:hAnsi="Times New Roman"/>
          <w:szCs w:val="24"/>
          <w:lang w:val="uk-UA"/>
        </w:rPr>
        <w:t xml:space="preserve"> </w:t>
      </w:r>
      <w:r w:rsidRPr="00517769">
        <w:rPr>
          <w:rFonts w:ascii="Times New Roman" w:hAnsi="Times New Roman"/>
          <w:szCs w:val="24"/>
          <w:lang w:val="uk-UA"/>
        </w:rPr>
        <w:t>, та іншим чинним державним стандартам, що регулюють вимоги до якості суміші асфальтобетонної.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несе відповідальність за якість матеріалів, які він використовує для виконання робіт, в порядку передбаченому чинним законодавством.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повинен забезпечити своєчасне проведення комплексу послуг з поточного ремонту асфальтового покриття 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 xml:space="preserve">Виконавець відповідає за одержання всіх необхідних дозволів, ліцензій, сертифікатів для виконання послуг та самостійно несе всі витрати на отримання таких дозволів, ліцензій, сертифікатів та інше.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повинен використовувати обладнання та матеріали, які не спричиняють шкоди довкіллю і забруднення навколишнього середовища паливно-мастильними матеріалами (які використовуються в процесі експлуатації машин та механізмів при виконанні послуг).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послуг щоденно у робочі дні (та при необхідності за вимогою Замовника у вихідні та святкові дні) з 8.00 до 8.30 у телефонному режимі або використовуючи 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месенджери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(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Viber</w:t>
      </w:r>
      <w:proofErr w:type="spellEnd"/>
      <w:r w:rsidR="00BF4414" w:rsidRP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або</w:t>
      </w:r>
      <w:r w:rsidR="00FF5AF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FF5AF9">
        <w:rPr>
          <w:rFonts w:ascii="Times New Roman" w:eastAsia="font182" w:hAnsi="Times New Roman"/>
          <w:kern w:val="1"/>
          <w:szCs w:val="24"/>
          <w:shd w:val="clear" w:color="auto" w:fill="FFFFFF"/>
          <w:lang w:val="en-US" w:bidi="hi-IN"/>
        </w:rPr>
        <w:t>W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en-US" w:bidi="hi-IN"/>
        </w:rPr>
        <w:t>hatsApp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)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надає достовірну та актуальну інформацію відповідальним спеціалістам щодо плану робіт на день. У разі змін планів на день</w:t>
      </w:r>
      <w:r w:rsidR="003834C0">
        <w:rPr>
          <w:rFonts w:ascii="Times New Roman" w:eastAsia="SimSun" w:hAnsi="Times New Roman"/>
          <w:kern w:val="1"/>
          <w:szCs w:val="24"/>
          <w:lang w:val="uk-UA" w:bidi="hi-IN"/>
        </w:rPr>
        <w:t>,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Виконавець попереджає Замовника та надає оновлену актуальну інформацію.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Виконання послуг з поточного ремонту дорожнього покриття контролюється технаглядом.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Виконавець послуг повинен  здійснювати фотофіксацію виконаних послуг та надавати фотографії виконаних послуг на електронну адресу замовника, на 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месенджери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BF4414"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(</w:t>
      </w:r>
      <w:proofErr w:type="spellStart"/>
      <w:r w:rsidR="00BF4414"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Viber</w:t>
      </w:r>
      <w:proofErr w:type="spellEnd"/>
      <w:r w:rsidR="00BF4414" w:rsidRP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або 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en-US" w:bidi="hi-IN"/>
        </w:rPr>
        <w:t>WhatsApp</w:t>
      </w:r>
      <w:r w:rsidR="00BF4414"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) </w:t>
      </w:r>
      <w:r w:rsidR="00BF4414"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відповідальним спеціалістам або через флеш-накопичувач у терміни не пізніше 3-х діб після виконання послуг по об’єкту. 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У Виконавця послуг має бути договір на утилізацію відходів.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самостійно здійснює вивезення будівельного сміття (залишків асфальтобетонної крихти, яка не придатна до подальшого використання, та будівельні відходи) 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виключно на </w:t>
      </w:r>
      <w:r w:rsidRPr="00517769">
        <w:rPr>
          <w:rFonts w:ascii="Times New Roman" w:hAnsi="Times New Roman"/>
          <w:szCs w:val="24"/>
          <w:shd w:val="clear" w:color="auto" w:fill="FFFFFF"/>
          <w:lang w:val="uk-UA"/>
        </w:rPr>
        <w:t xml:space="preserve">місця чи об'єкти (місця розміщення відходів, сховища, полігони, комплекси, споруди, тощо), 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із зазначенням адреси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у терміни не більше 7 робочих днів .</w:t>
      </w:r>
    </w:p>
    <w:p w:rsidR="00F46030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Асфальтобетонна крихта, яка придатна для подальшого використання  передається та складується на місця, які визначені Замовником. </w:t>
      </w:r>
      <w:r w:rsidR="00F46030" w:rsidRPr="00F46030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Передача </w:t>
      </w:r>
      <w:proofErr w:type="spellStart"/>
      <w:r w:rsidR="00F46030" w:rsidRPr="00F46030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асфальтогрануляту</w:t>
      </w:r>
      <w:proofErr w:type="spellEnd"/>
      <w:r w:rsidR="00F46030" w:rsidRPr="00F46030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 підтверджується актом прийому-передачі,  підписаним  між Виконавцем послуг, Замовником послуг  та організацією, яка приймає матеріал.</w:t>
      </w:r>
    </w:p>
    <w:p w:rsidR="00505213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lastRenderedPageBreak/>
        <w:t>Виконавець самостійно проводить необхідні заходи та отримує відповідні узгодження з власниками мереж необхідними для безпечного та якісного надання послуг .</w:t>
      </w:r>
    </w:p>
    <w:p w:rsidR="00DA52E3" w:rsidRDefault="00DA52E3" w:rsidP="00DA52E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B1566F">
        <w:rPr>
          <w:color w:val="000000"/>
          <w:szCs w:val="24"/>
          <w:lang w:val="uk-UA"/>
        </w:rPr>
        <w:t xml:space="preserve">Виконавець забезпечує наявність власної випробувальної лабораторії або залученої на договірних засадах, яка має атестат про акредитацію, виданий Національним агентством з акредитації України на відповідність вимогам міжнародного стандарту ДСТУ </w:t>
      </w:r>
      <w:r w:rsidRPr="00B1566F">
        <w:rPr>
          <w:color w:val="000000"/>
          <w:szCs w:val="24"/>
        </w:rPr>
        <w:t>ISO</w:t>
      </w:r>
      <w:r w:rsidRPr="00B1566F">
        <w:rPr>
          <w:color w:val="000000"/>
          <w:szCs w:val="24"/>
          <w:lang w:val="uk-UA"/>
        </w:rPr>
        <w:t>/</w:t>
      </w:r>
      <w:r w:rsidRPr="00B1566F">
        <w:rPr>
          <w:color w:val="000000"/>
          <w:szCs w:val="24"/>
        </w:rPr>
        <w:t>IEC</w:t>
      </w:r>
      <w:r w:rsidRPr="00B1566F">
        <w:rPr>
          <w:color w:val="000000"/>
          <w:szCs w:val="24"/>
          <w:lang w:val="uk-UA"/>
        </w:rPr>
        <w:t xml:space="preserve"> 17025:2019 на випробування матеріалів, які використовуються при ремонтах автомобільних доріг, а також забезпечує здійснення відбору зразків – кернів асфальтобетонного покриття  з наданням відповідних висновків (протоколів) щодо відповідності вимогам ДСТУ</w:t>
      </w:r>
      <w:r>
        <w:rPr>
          <w:color w:val="000000"/>
          <w:szCs w:val="24"/>
          <w:lang w:val="uk-UA"/>
        </w:rPr>
        <w:t>.</w:t>
      </w:r>
    </w:p>
    <w:p w:rsidR="00DA52E3" w:rsidRPr="00517769" w:rsidRDefault="00DA52E3" w:rsidP="00DA52E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Акт виконаних послуг на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дається за формою КБ-3, КБ-2в. та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с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по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чатку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підписується Технаглядом, а потім надається на розгляд Замовника. 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 xml:space="preserve">Акт виконаних послуг  форми КБ-3, КБ-2в підписується замовником лише після надання Виконавцем  послуг протоколів випробування </w:t>
      </w:r>
      <w:r w:rsidRPr="00B1566F">
        <w:rPr>
          <w:color w:val="000000"/>
          <w:szCs w:val="24"/>
          <w:lang w:val="uk-UA"/>
        </w:rPr>
        <w:t>зразків – кернів асфальтобетонного покриття  щодо відповідності вимогам ДСТУ</w:t>
      </w:r>
      <w:r>
        <w:rPr>
          <w:color w:val="000000"/>
          <w:szCs w:val="24"/>
          <w:lang w:val="uk-UA"/>
        </w:rPr>
        <w:t xml:space="preserve"> Б В.2.7-119:2011 «Суміші асфальтобетонні і асфальтобетон дорожній  та аеродромний. Технічні умови» 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szCs w:val="24"/>
          <w:lang w:val="uk-UA" w:bidi="hi-IN"/>
        </w:rPr>
        <w:t>У разі наявності транспортних засобів, які заважають виконанню послуги, Виконавець самостійно виявляє власників транспортних засобів та проводить з ними роз’яснювальн</w:t>
      </w:r>
      <w:r w:rsidR="002B6536">
        <w:rPr>
          <w:rFonts w:ascii="Times New Roman" w:eastAsia="SimSun" w:hAnsi="Times New Roman"/>
          <w:szCs w:val="24"/>
          <w:lang w:val="uk-UA" w:bidi="hi-IN"/>
        </w:rPr>
        <w:t>у роботу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 з метою звільнення територій, на якій виконуються послуги, від транспортних засобів.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</w:pP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У разі необхідності тимчасового перекриття дорожнього руху для виконання послуг Виконавець самостійно забезпечує організацію тимчасового перекриття дорожнього руху та отримує погодження органів патрульної поліції відповідно до чинного законодавства. </w:t>
      </w:r>
    </w:p>
    <w:p w:rsidR="000C0927" w:rsidRPr="00517769" w:rsidRDefault="00505213" w:rsidP="000C0927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У разі виявлення Технаглядом неякісного виконання послуг, складається акт-претензія, замовник не сплачує Виконавцю за неякісно виконані послуги (згідно складеного акту-претензії). </w:t>
      </w:r>
      <w:r w:rsidR="000C0927" w:rsidRPr="00517769">
        <w:rPr>
          <w:rFonts w:ascii="Times New Roman" w:eastAsia="SimSun" w:hAnsi="Times New Roman"/>
          <w:kern w:val="1"/>
          <w:szCs w:val="24"/>
          <w:lang w:val="uk-UA" w:bidi="hi-IN"/>
        </w:rPr>
        <w:t>У разі неякісного надання відповідних послуг, Виконавець зобов'язаний виправити недоліки та надати послуги без додаткової оплати.</w:t>
      </w:r>
    </w:p>
    <w:p w:rsidR="00505213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Відповідальність за якість та своєчасне надання послуг несе Виконавець відповідно до законодавства.</w:t>
      </w:r>
    </w:p>
    <w:p w:rsidR="006D18E2" w:rsidRPr="00517769" w:rsidRDefault="006D18E2" w:rsidP="006D18E2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Акт виконаних послуг на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 xml:space="preserve">дається за формою КБ-3, КБ-2в. </w:t>
      </w:r>
      <w:r w:rsidR="007A0739">
        <w:rPr>
          <w:rFonts w:ascii="Times New Roman" w:eastAsia="SimSun" w:hAnsi="Times New Roman"/>
          <w:kern w:val="1"/>
          <w:szCs w:val="24"/>
          <w:lang w:val="uk-UA" w:bidi="hi-IN"/>
        </w:rPr>
        <w:t>та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с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по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чатку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підписується Технаглядом, а потім надається на розгляд Замовника. </w:t>
      </w:r>
    </w:p>
    <w:p w:rsidR="00004CFA" w:rsidRPr="0090129D" w:rsidRDefault="006D18E2" w:rsidP="007A0739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Після виконання послуг Виконавець зобов’язаний надати фотозвіт у друкованому кольоровому вигляді, у якому наявні фотографії виконаних послуг із зазначенням адреси </w:t>
      </w:r>
      <w:r w:rsidR="0005668C">
        <w:rPr>
          <w:rFonts w:ascii="Times New Roman" w:eastAsia="SimSun" w:hAnsi="Times New Roman"/>
          <w:kern w:val="1"/>
          <w:szCs w:val="24"/>
          <w:lang w:val="uk-UA" w:bidi="hi-IN"/>
        </w:rPr>
        <w:t xml:space="preserve"> у розрізі «До-Після»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та вик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онання схеми ремонту територій.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забезпечує відшкодування збитків, пов’язаних із псуванням або втратою майна Замовника, підприємств, мешканців, тощо, що знаходиться в місцях надання послуг, нанесених з вини працівників Виконавця, у визначеному чинним законодавством України порядку.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повинен забезпечити працівників спецодягом та взуттям згідно діючих виробничо-санітарних норм. Під час надання послуг працівники Виконавця мають бути одягнені у спеціальний одяг, бажано, з написом назви організації (установи), а при наданні послуг на проїжджій частині вулиць та доріг – в жилет сигнальний </w:t>
      </w:r>
      <w:proofErr w:type="spellStart"/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світловідбиваючий</w:t>
      </w:r>
      <w:proofErr w:type="spellEnd"/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.</w:t>
      </w:r>
    </w:p>
    <w:p w:rsidR="00505213" w:rsidRPr="00517769" w:rsidRDefault="00505213" w:rsidP="00505213">
      <w:pPr>
        <w:pStyle w:val="1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ab/>
        <w:t>При виконанні послуг необхідно керуватись правилами охорони праці, що унеможливлюють випадки травмування громадян, пошкодження майна, споруд, будівель, комунікацій, тощо. Територія проведення робіт має бути огороджена, встановлені необхідні дорожні знаки.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>Учасник визначає ціну тендерної пропозиції з урахуванням всіх видів та обсягів послуг, що повинні бути виконані</w:t>
      </w:r>
      <w:r w:rsidRPr="00517769">
        <w:rPr>
          <w:rFonts w:ascii="Times New Roman" w:hAnsi="Times New Roman"/>
          <w:kern w:val="1"/>
          <w:szCs w:val="24"/>
          <w:lang w:val="uk-UA"/>
        </w:rPr>
        <w:t>.</w:t>
      </w: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Ціна тендерної пропозиції повинна включати всі витрати Учасника, зокрема податки і збори, що сплачуються або мають бути сплачені, вартість матеріалів, страхування, інші витрати.</w:t>
      </w:r>
      <w:r w:rsidRPr="00517769">
        <w:rPr>
          <w:rFonts w:ascii="Times New Roman" w:hAnsi="Times New Roman"/>
          <w:kern w:val="1"/>
          <w:szCs w:val="24"/>
          <w:lang w:val="uk-UA"/>
        </w:rPr>
        <w:t xml:space="preserve"> Не врахована Учасником вартість окремих послуг не сплачується Замовником окремо, а витрати на їх виконання вважаються врахованими у загальній ціні, за яку він згодний виконати Договір.</w:t>
      </w: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При складанні ціни тендерної пропозиції (договірної ціни) на надання послуг вартість матеріальних ресурсів приймається Учасником за цінами, які не перевищують </w:t>
      </w:r>
      <w:proofErr w:type="spellStart"/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>середньоринкові</w:t>
      </w:r>
      <w:proofErr w:type="spellEnd"/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ціни по Дніпропетровській області, з урахуванням якісних характеристик, строків та об’ємів постачання усіх товарів і матеріалів, що використовуються під час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bCs/>
          <w:szCs w:val="24"/>
          <w:u w:val="single"/>
          <w:lang w:val="uk-UA"/>
        </w:rPr>
      </w:pPr>
      <w:r w:rsidRPr="00517769">
        <w:rPr>
          <w:rFonts w:ascii="Times New Roman" w:hAnsi="Times New Roman"/>
          <w:bCs/>
          <w:szCs w:val="24"/>
          <w:lang w:val="uk-UA"/>
        </w:rPr>
        <w:t xml:space="preserve">В розрахунку ціни тендерної пропозиції, кошти на покриття додаткових витрат, пов’язаних з інфляційними процесами, </w:t>
      </w:r>
      <w:r w:rsidRPr="00517769">
        <w:rPr>
          <w:rFonts w:ascii="Times New Roman" w:hAnsi="Times New Roman"/>
          <w:bCs/>
          <w:szCs w:val="24"/>
          <w:u w:val="single"/>
          <w:lang w:val="uk-UA"/>
        </w:rPr>
        <w:t>не враховувати.</w:t>
      </w:r>
    </w:p>
    <w:p w:rsidR="00505213" w:rsidRPr="00517769" w:rsidRDefault="00505213" w:rsidP="00505213">
      <w:pPr>
        <w:pStyle w:val="1"/>
        <w:ind w:firstLine="708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 xml:space="preserve">Забезпечувати на місці надання послуг вжиття необхідних природоохоронних заходів, </w:t>
      </w:r>
      <w:r w:rsidRPr="00517769">
        <w:rPr>
          <w:rFonts w:ascii="Times New Roman" w:hAnsi="Times New Roman"/>
          <w:szCs w:val="24"/>
          <w:lang w:val="uk-UA"/>
        </w:rPr>
        <w:lastRenderedPageBreak/>
        <w:t>правил санітарної та протипожежної, екологічної безпеки, правил охорони праці, експлуатації техніки, а також техніку безпеки під час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Перед організацією послуги Виконавець самостійно забезпечує підготовку ділянок  доріг, тротуарів умов для робіт, вирішує питання з балансоутримувачами мереж стосовно вирівнювання та облаштування люків, усунення перешкод у вигляді гілля дерев та ін.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повинен дотримуватися державних стандартів, норм, правил техніки безпеки, охорони праці, пожежної безпеки, безпеки дорожнього руху, природоохоронних заходів, санітарно-гігієнічних вимог при проведенні робіт в населених пунктах, Закону України «Про благоустрій населених пунктів».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bCs/>
          <w:color w:val="000000"/>
          <w:szCs w:val="24"/>
          <w:lang w:val="uk-UA"/>
        </w:rPr>
        <w:t xml:space="preserve">Виконавець повинен забезпечити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дотримання персоналом правил техніки безпеки; правил пожежної безпеки; правил електробезпеки; вимог закону України про охорону праці; санітарно-гігієнічних норм під час надання всіх видів послуг;</w:t>
      </w:r>
    </w:p>
    <w:p w:rsidR="00505213" w:rsidRPr="00517769" w:rsidRDefault="00505213" w:rsidP="00505213">
      <w:pPr>
        <w:spacing w:after="0" w:line="240" w:lineRule="auto"/>
        <w:ind w:firstLine="708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ru-RU" w:bidi="hi-IN"/>
        </w:rPr>
      </w:pPr>
      <w:r w:rsidRPr="00517769">
        <w:rPr>
          <w:rFonts w:ascii="Times New Roman" w:eastAsia="SimSun" w:hAnsi="Times New Roman"/>
          <w:kern w:val="1"/>
          <w:sz w:val="24"/>
          <w:szCs w:val="24"/>
          <w:lang w:eastAsia="ru-RU" w:bidi="hi-IN"/>
        </w:rPr>
        <w:t>Виконавець повинен отримати визначену діючим законодавством України документацію, яка необхідна на період проведення  ремонтних робіт.</w:t>
      </w:r>
      <w:bookmarkEnd w:id="1"/>
    </w:p>
    <w:p w:rsidR="00505213" w:rsidRPr="00517769" w:rsidRDefault="00505213" w:rsidP="00505213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43494" w:rsidRDefault="00094E22" w:rsidP="00443494">
      <w:pPr>
        <w:pStyle w:val="1"/>
        <w:ind w:firstLine="709"/>
        <w:jc w:val="both"/>
        <w:rPr>
          <w:rFonts w:ascii="Times New Roman" w:hAnsi="Times New Roman"/>
          <w:b/>
          <w:szCs w:val="24"/>
          <w:u w:val="single"/>
          <w:lang w:val="uk-UA"/>
        </w:rPr>
      </w:pPr>
      <w:r>
        <w:rPr>
          <w:rFonts w:ascii="Times New Roman" w:hAnsi="Times New Roman"/>
          <w:b/>
          <w:szCs w:val="24"/>
          <w:u w:val="single"/>
          <w:lang w:val="uk-UA"/>
        </w:rPr>
        <w:t>Будівельні машини та механізми необхідні для проведення робіт</w:t>
      </w:r>
      <w:r w:rsidR="00505213" w:rsidRPr="00416629">
        <w:rPr>
          <w:rFonts w:ascii="Times New Roman" w:hAnsi="Times New Roman"/>
          <w:b/>
          <w:szCs w:val="24"/>
          <w:u w:val="single"/>
          <w:lang w:val="uk-UA"/>
        </w:rPr>
        <w:t>:</w:t>
      </w:r>
    </w:p>
    <w:p w:rsidR="00970A15" w:rsidRDefault="00970A15" w:rsidP="00443494">
      <w:pPr>
        <w:pStyle w:val="1"/>
        <w:ind w:firstLine="709"/>
        <w:jc w:val="both"/>
        <w:rPr>
          <w:rFonts w:ascii="Times New Roman" w:hAnsi="Times New Roman"/>
          <w:b/>
          <w:szCs w:val="24"/>
          <w:u w:val="single"/>
          <w:lang w:val="uk-UA"/>
        </w:rPr>
      </w:pPr>
    </w:p>
    <w:p w:rsidR="00DA52E3" w:rsidRPr="00DA52E3" w:rsidRDefault="00476B43" w:rsidP="00476B43">
      <w:pPr>
        <w:pStyle w:val="1"/>
        <w:ind w:firstLine="709"/>
        <w:jc w:val="both"/>
        <w:rPr>
          <w:lang w:val="uk-UA"/>
        </w:rPr>
      </w:pPr>
      <w:r>
        <w:rPr>
          <w:rFonts w:ascii="Times New Roman" w:hAnsi="Times New Roman"/>
          <w:szCs w:val="24"/>
          <w:lang w:val="uk-UA"/>
        </w:rPr>
        <w:t>-</w:t>
      </w:r>
      <w:r w:rsidRPr="00443494">
        <w:t xml:space="preserve"> </w:t>
      </w:r>
      <w:proofErr w:type="spellStart"/>
      <w:r w:rsidR="00DA52E3" w:rsidRPr="00DA52E3">
        <w:rPr>
          <w:lang w:val="uk-UA"/>
        </w:rPr>
        <w:t>Автогудронатор</w:t>
      </w:r>
      <w:proofErr w:type="spellEnd"/>
      <w:r w:rsidR="00DA52E3" w:rsidRPr="00DA52E3">
        <w:rPr>
          <w:lang w:val="uk-UA"/>
        </w:rPr>
        <w:t>;</w:t>
      </w:r>
    </w:p>
    <w:p w:rsidR="00476B43" w:rsidRPr="00DA52E3" w:rsidRDefault="00DA52E3" w:rsidP="00476B4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lang w:val="uk-UA"/>
        </w:rPr>
        <w:t>-</w:t>
      </w:r>
      <w:proofErr w:type="spellStart"/>
      <w:r w:rsidR="00476B43" w:rsidRPr="00DA52E3">
        <w:rPr>
          <w:rFonts w:ascii="Times New Roman" w:hAnsi="Times New Roman"/>
          <w:szCs w:val="24"/>
          <w:lang w:val="uk-UA"/>
        </w:rPr>
        <w:t>Автомобiлi</w:t>
      </w:r>
      <w:proofErr w:type="spellEnd"/>
      <w:r w:rsidR="00476B43" w:rsidRPr="00DA52E3">
        <w:rPr>
          <w:rFonts w:ascii="Times New Roman" w:hAnsi="Times New Roman"/>
          <w:szCs w:val="24"/>
          <w:lang w:val="uk-UA"/>
        </w:rPr>
        <w:t>-самоскиди;</w:t>
      </w:r>
    </w:p>
    <w:p w:rsidR="00476B43" w:rsidRPr="00DA52E3" w:rsidRDefault="00476B43" w:rsidP="00476B4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>-Асфальтоукладальники, продуктивність 100 т/год;</w:t>
      </w:r>
    </w:p>
    <w:p w:rsidR="00476B43" w:rsidRPr="00DA52E3" w:rsidRDefault="00476B43" w:rsidP="00476B4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>-</w:t>
      </w:r>
      <w:r w:rsidRPr="00DA52E3">
        <w:t xml:space="preserve"> </w:t>
      </w:r>
      <w:r w:rsidRPr="00DA52E3">
        <w:rPr>
          <w:rFonts w:ascii="Times New Roman" w:hAnsi="Times New Roman"/>
          <w:szCs w:val="24"/>
          <w:lang w:val="uk-UA"/>
        </w:rPr>
        <w:t>Дорожня фреза 9901-1 на базі трактора МТЗ-80;</w:t>
      </w:r>
    </w:p>
    <w:p w:rsidR="00476B43" w:rsidRPr="00DA52E3" w:rsidRDefault="00476B43" w:rsidP="00476B4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 xml:space="preserve">-Котки дорожні самохідні вібраційні </w:t>
      </w:r>
      <w:proofErr w:type="spellStart"/>
      <w:r w:rsidRPr="00DA52E3">
        <w:rPr>
          <w:rFonts w:ascii="Times New Roman" w:hAnsi="Times New Roman"/>
          <w:szCs w:val="24"/>
          <w:lang w:val="uk-UA"/>
        </w:rPr>
        <w:t>гладковальцеві</w:t>
      </w:r>
      <w:proofErr w:type="spellEnd"/>
      <w:r w:rsidRPr="00DA52E3">
        <w:rPr>
          <w:rFonts w:ascii="Times New Roman" w:hAnsi="Times New Roman"/>
          <w:szCs w:val="24"/>
          <w:lang w:val="uk-UA"/>
        </w:rPr>
        <w:t>, маса 13 т;</w:t>
      </w:r>
    </w:p>
    <w:p w:rsidR="00476B43" w:rsidRPr="00DA52E3" w:rsidRDefault="00476B43" w:rsidP="00DA52E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 xml:space="preserve">-Котки дорожні самохідні вібраційні </w:t>
      </w:r>
      <w:proofErr w:type="spellStart"/>
      <w:r w:rsidRPr="00DA52E3">
        <w:rPr>
          <w:rFonts w:ascii="Times New Roman" w:hAnsi="Times New Roman"/>
          <w:szCs w:val="24"/>
          <w:lang w:val="uk-UA"/>
        </w:rPr>
        <w:t>гладковальцеві</w:t>
      </w:r>
      <w:proofErr w:type="spellEnd"/>
      <w:r w:rsidRPr="00DA52E3">
        <w:rPr>
          <w:rFonts w:ascii="Times New Roman" w:hAnsi="Times New Roman"/>
          <w:szCs w:val="24"/>
          <w:lang w:val="uk-UA"/>
        </w:rPr>
        <w:t>, маса 8 т;</w:t>
      </w:r>
    </w:p>
    <w:p w:rsidR="00476B43" w:rsidRPr="00DA52E3" w:rsidRDefault="00476B43" w:rsidP="00DA52E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>-Машина для холодного фрезерування асфальтобетонних покриттів, ширина фрезерування 2100 мм;</w:t>
      </w:r>
    </w:p>
    <w:p w:rsidR="00476B43" w:rsidRPr="00DA52E3" w:rsidRDefault="00476B43" w:rsidP="00476B4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 xml:space="preserve">-Машини </w:t>
      </w:r>
      <w:proofErr w:type="spellStart"/>
      <w:r w:rsidRPr="00DA52E3">
        <w:rPr>
          <w:rFonts w:ascii="Times New Roman" w:hAnsi="Times New Roman"/>
          <w:szCs w:val="24"/>
          <w:lang w:val="uk-UA"/>
        </w:rPr>
        <w:t>поливально</w:t>
      </w:r>
      <w:proofErr w:type="spellEnd"/>
      <w:r w:rsidRPr="00DA52E3">
        <w:rPr>
          <w:rFonts w:ascii="Times New Roman" w:hAnsi="Times New Roman"/>
          <w:szCs w:val="24"/>
          <w:lang w:val="uk-UA"/>
        </w:rPr>
        <w:t>-мийні, місткість 6000 л;</w:t>
      </w:r>
    </w:p>
    <w:p w:rsidR="00DA52E3" w:rsidRPr="00BD13C5" w:rsidRDefault="00DA52E3" w:rsidP="00476B4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>-</w:t>
      </w:r>
      <w:r w:rsidRPr="00DA52E3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DA52E3">
        <w:rPr>
          <w:rFonts w:ascii="Times New Roman" w:hAnsi="Times New Roman"/>
          <w:spacing w:val="-5"/>
          <w:szCs w:val="24"/>
        </w:rPr>
        <w:t>Щітки</w:t>
      </w:r>
      <w:proofErr w:type="spellEnd"/>
      <w:r w:rsidRPr="00DA52E3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DA52E3">
        <w:rPr>
          <w:rFonts w:ascii="Times New Roman" w:hAnsi="Times New Roman"/>
          <w:spacing w:val="-5"/>
          <w:szCs w:val="24"/>
        </w:rPr>
        <w:t>дорожні</w:t>
      </w:r>
      <w:proofErr w:type="spellEnd"/>
      <w:r w:rsidRPr="00DA52E3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DA52E3">
        <w:rPr>
          <w:rFonts w:ascii="Times New Roman" w:hAnsi="Times New Roman"/>
          <w:spacing w:val="-5"/>
          <w:szCs w:val="24"/>
        </w:rPr>
        <w:t>навісні</w:t>
      </w:r>
      <w:proofErr w:type="spellEnd"/>
      <w:r w:rsidRPr="00DA52E3">
        <w:rPr>
          <w:rFonts w:ascii="Times New Roman" w:hAnsi="Times New Roman"/>
          <w:spacing w:val="-5"/>
          <w:szCs w:val="24"/>
        </w:rPr>
        <w:t xml:space="preserve"> на </w:t>
      </w:r>
      <w:proofErr w:type="spellStart"/>
      <w:r w:rsidRPr="00DA52E3">
        <w:rPr>
          <w:rFonts w:ascii="Times New Roman" w:hAnsi="Times New Roman"/>
          <w:spacing w:val="-5"/>
          <w:szCs w:val="24"/>
        </w:rPr>
        <w:t>базі</w:t>
      </w:r>
      <w:proofErr w:type="spellEnd"/>
      <w:r w:rsidRPr="00DA52E3">
        <w:rPr>
          <w:rFonts w:ascii="Times New Roman" w:hAnsi="Times New Roman"/>
          <w:spacing w:val="-5"/>
          <w:szCs w:val="24"/>
        </w:rPr>
        <w:t xml:space="preserve"> трактора</w:t>
      </w:r>
    </w:p>
    <w:p w:rsidR="00F46030" w:rsidRPr="00094E22" w:rsidRDefault="00F46030" w:rsidP="00F46030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43494" w:rsidRPr="00FE0786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E0786">
        <w:rPr>
          <w:rFonts w:ascii="Times New Roman" w:hAnsi="Times New Roman"/>
          <w:b/>
          <w:sz w:val="24"/>
          <w:szCs w:val="24"/>
        </w:rPr>
        <w:t>або техніка (обладнання) з аналогічними або кращими параметрами.</w:t>
      </w:r>
    </w:p>
    <w:p w:rsidR="00443494" w:rsidRPr="00FE0786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43494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виконанні робіт використовувати наступні матеріали:</w:t>
      </w:r>
    </w:p>
    <w:p w:rsidR="00443494" w:rsidRPr="00CD2356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748"/>
        <w:gridCol w:w="2693"/>
      </w:tblGrid>
      <w:tr w:rsidR="00DA52E3" w:rsidRPr="00CD2356" w:rsidTr="001D6653">
        <w:trPr>
          <w:trHeight w:val="346"/>
        </w:trPr>
        <w:tc>
          <w:tcPr>
            <w:tcW w:w="4957" w:type="dxa"/>
          </w:tcPr>
          <w:p w:rsidR="00DA52E3" w:rsidRDefault="00DA52E3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Вода</w:t>
            </w:r>
          </w:p>
        </w:tc>
        <w:tc>
          <w:tcPr>
            <w:tcW w:w="1748" w:type="dxa"/>
          </w:tcPr>
          <w:p w:rsidR="00DA52E3" w:rsidRPr="00CD2356" w:rsidRDefault="00DA52E3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2693" w:type="dxa"/>
          </w:tcPr>
          <w:p w:rsidR="00DA52E3" w:rsidRDefault="00DA52E3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0,8695</w:t>
            </w:r>
          </w:p>
        </w:tc>
      </w:tr>
      <w:tr w:rsidR="00094E22" w:rsidRPr="00CD2356" w:rsidTr="001D6653">
        <w:trPr>
          <w:trHeight w:val="346"/>
        </w:trPr>
        <w:tc>
          <w:tcPr>
            <w:tcW w:w="4957" w:type="dxa"/>
          </w:tcPr>
          <w:p w:rsidR="00094E22" w:rsidRPr="00CD2356" w:rsidRDefault="00F46030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Емульсія бітумна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дорожна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ЕКШ-50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743D61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0,12802</w:t>
            </w:r>
          </w:p>
        </w:tc>
      </w:tr>
      <w:tr w:rsidR="00094E22" w:rsidRPr="00CD2356" w:rsidTr="001D6653">
        <w:trPr>
          <w:trHeight w:val="346"/>
        </w:trPr>
        <w:tc>
          <w:tcPr>
            <w:tcW w:w="4957" w:type="dxa"/>
          </w:tcPr>
          <w:p w:rsidR="00094E22" w:rsidRPr="00CD2356" w:rsidRDefault="00F46030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0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743D61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31,508</w:t>
            </w:r>
          </w:p>
        </w:tc>
      </w:tr>
    </w:tbl>
    <w:p w:rsidR="00987DBE" w:rsidRPr="00987DBE" w:rsidRDefault="000C2154" w:rsidP="000C2154">
      <w:pPr>
        <w:pStyle w:val="a9"/>
        <w:tabs>
          <w:tab w:val="left" w:pos="993"/>
        </w:tabs>
        <w:jc w:val="both"/>
      </w:pPr>
      <w:r>
        <w:tab/>
      </w:r>
      <w:bookmarkStart w:id="2" w:name="_GoBack"/>
      <w:bookmarkEnd w:id="2"/>
    </w:p>
    <w:sectPr w:rsidR="00987DBE" w:rsidRPr="00987DBE" w:rsidSect="00C319E0">
      <w:pgSz w:w="11906" w:h="16838"/>
      <w:pgMar w:top="850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57829"/>
    <w:multiLevelType w:val="hybridMultilevel"/>
    <w:tmpl w:val="1C66F682"/>
    <w:lvl w:ilvl="0" w:tplc="BA5279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70"/>
    <w:rsid w:val="00004CFA"/>
    <w:rsid w:val="00005E26"/>
    <w:rsid w:val="0001382F"/>
    <w:rsid w:val="000241AD"/>
    <w:rsid w:val="00031153"/>
    <w:rsid w:val="00031F63"/>
    <w:rsid w:val="0005668C"/>
    <w:rsid w:val="00061C59"/>
    <w:rsid w:val="00086BB0"/>
    <w:rsid w:val="000945FF"/>
    <w:rsid w:val="00094E22"/>
    <w:rsid w:val="000A28FD"/>
    <w:rsid w:val="000C0927"/>
    <w:rsid w:val="000C2154"/>
    <w:rsid w:val="000D5AD4"/>
    <w:rsid w:val="000F7C82"/>
    <w:rsid w:val="00117529"/>
    <w:rsid w:val="0016342C"/>
    <w:rsid w:val="00165128"/>
    <w:rsid w:val="001B3410"/>
    <w:rsid w:val="001D6189"/>
    <w:rsid w:val="001D6653"/>
    <w:rsid w:val="001E4467"/>
    <w:rsid w:val="001E4F01"/>
    <w:rsid w:val="001F3DB2"/>
    <w:rsid w:val="00204AFB"/>
    <w:rsid w:val="002313FA"/>
    <w:rsid w:val="0023307F"/>
    <w:rsid w:val="00241B9C"/>
    <w:rsid w:val="00244DDB"/>
    <w:rsid w:val="002477B6"/>
    <w:rsid w:val="00250517"/>
    <w:rsid w:val="002725EC"/>
    <w:rsid w:val="00274D50"/>
    <w:rsid w:val="00290F62"/>
    <w:rsid w:val="00293488"/>
    <w:rsid w:val="00293937"/>
    <w:rsid w:val="002B220B"/>
    <w:rsid w:val="002B6536"/>
    <w:rsid w:val="002E2B53"/>
    <w:rsid w:val="002E6180"/>
    <w:rsid w:val="002F7A31"/>
    <w:rsid w:val="0030018E"/>
    <w:rsid w:val="0030176F"/>
    <w:rsid w:val="00317435"/>
    <w:rsid w:val="00330CE4"/>
    <w:rsid w:val="0035420C"/>
    <w:rsid w:val="00382D3C"/>
    <w:rsid w:val="003834C0"/>
    <w:rsid w:val="00383C9E"/>
    <w:rsid w:val="00391366"/>
    <w:rsid w:val="003A453B"/>
    <w:rsid w:val="003B4AB9"/>
    <w:rsid w:val="003B4FEA"/>
    <w:rsid w:val="003B7B68"/>
    <w:rsid w:val="003C7A91"/>
    <w:rsid w:val="003D1CDA"/>
    <w:rsid w:val="003D4193"/>
    <w:rsid w:val="003D76F3"/>
    <w:rsid w:val="003F574F"/>
    <w:rsid w:val="003F5C61"/>
    <w:rsid w:val="00415506"/>
    <w:rsid w:val="00416629"/>
    <w:rsid w:val="0043481D"/>
    <w:rsid w:val="00437D70"/>
    <w:rsid w:val="00443494"/>
    <w:rsid w:val="004466C3"/>
    <w:rsid w:val="00476B43"/>
    <w:rsid w:val="00485A2D"/>
    <w:rsid w:val="0049375F"/>
    <w:rsid w:val="004A0449"/>
    <w:rsid w:val="004B1D2C"/>
    <w:rsid w:val="004E28FE"/>
    <w:rsid w:val="00505213"/>
    <w:rsid w:val="00505D9D"/>
    <w:rsid w:val="00524035"/>
    <w:rsid w:val="005251FD"/>
    <w:rsid w:val="005276B6"/>
    <w:rsid w:val="00527EAE"/>
    <w:rsid w:val="00543644"/>
    <w:rsid w:val="00545B3F"/>
    <w:rsid w:val="00552BDF"/>
    <w:rsid w:val="005626C6"/>
    <w:rsid w:val="00583C45"/>
    <w:rsid w:val="00586B95"/>
    <w:rsid w:val="005926E0"/>
    <w:rsid w:val="005E5173"/>
    <w:rsid w:val="005F2182"/>
    <w:rsid w:val="00615061"/>
    <w:rsid w:val="00622EF4"/>
    <w:rsid w:val="006234EE"/>
    <w:rsid w:val="00631778"/>
    <w:rsid w:val="00647A44"/>
    <w:rsid w:val="00666027"/>
    <w:rsid w:val="00683755"/>
    <w:rsid w:val="00687D76"/>
    <w:rsid w:val="00691848"/>
    <w:rsid w:val="006A7FD3"/>
    <w:rsid w:val="006B2BBB"/>
    <w:rsid w:val="006D18E2"/>
    <w:rsid w:val="006D62BE"/>
    <w:rsid w:val="006E17DE"/>
    <w:rsid w:val="006E6FAA"/>
    <w:rsid w:val="006F1226"/>
    <w:rsid w:val="00702C3E"/>
    <w:rsid w:val="00712601"/>
    <w:rsid w:val="007217DE"/>
    <w:rsid w:val="0073089A"/>
    <w:rsid w:val="00730BB7"/>
    <w:rsid w:val="00735F52"/>
    <w:rsid w:val="0074103B"/>
    <w:rsid w:val="00743D61"/>
    <w:rsid w:val="00783E60"/>
    <w:rsid w:val="00791BBD"/>
    <w:rsid w:val="007A0739"/>
    <w:rsid w:val="007A4703"/>
    <w:rsid w:val="007B6797"/>
    <w:rsid w:val="007C6E15"/>
    <w:rsid w:val="007D3798"/>
    <w:rsid w:val="007E0316"/>
    <w:rsid w:val="00812669"/>
    <w:rsid w:val="00824E29"/>
    <w:rsid w:val="008250B5"/>
    <w:rsid w:val="00833D4B"/>
    <w:rsid w:val="008437C5"/>
    <w:rsid w:val="0088400B"/>
    <w:rsid w:val="008B59C1"/>
    <w:rsid w:val="008D06B0"/>
    <w:rsid w:val="0090129D"/>
    <w:rsid w:val="00906BA5"/>
    <w:rsid w:val="00923A5D"/>
    <w:rsid w:val="00934DD4"/>
    <w:rsid w:val="00940E76"/>
    <w:rsid w:val="00970A15"/>
    <w:rsid w:val="009818B2"/>
    <w:rsid w:val="00984843"/>
    <w:rsid w:val="00987DBE"/>
    <w:rsid w:val="0099001E"/>
    <w:rsid w:val="009C09DE"/>
    <w:rsid w:val="009C7207"/>
    <w:rsid w:val="00A35DE6"/>
    <w:rsid w:val="00A51A9F"/>
    <w:rsid w:val="00A7621D"/>
    <w:rsid w:val="00AA083B"/>
    <w:rsid w:val="00AA1A55"/>
    <w:rsid w:val="00AD24BC"/>
    <w:rsid w:val="00AE3015"/>
    <w:rsid w:val="00AF1C20"/>
    <w:rsid w:val="00AF1F4F"/>
    <w:rsid w:val="00B1566F"/>
    <w:rsid w:val="00B176B9"/>
    <w:rsid w:val="00B229C9"/>
    <w:rsid w:val="00B6455D"/>
    <w:rsid w:val="00B85A3B"/>
    <w:rsid w:val="00B86471"/>
    <w:rsid w:val="00B92933"/>
    <w:rsid w:val="00BB414B"/>
    <w:rsid w:val="00BE38D3"/>
    <w:rsid w:val="00BF4414"/>
    <w:rsid w:val="00C02BA8"/>
    <w:rsid w:val="00C06933"/>
    <w:rsid w:val="00C13B98"/>
    <w:rsid w:val="00C24798"/>
    <w:rsid w:val="00C319E0"/>
    <w:rsid w:val="00C57199"/>
    <w:rsid w:val="00C65CB0"/>
    <w:rsid w:val="00C705E9"/>
    <w:rsid w:val="00CB2685"/>
    <w:rsid w:val="00CC1D48"/>
    <w:rsid w:val="00CC411A"/>
    <w:rsid w:val="00CD2356"/>
    <w:rsid w:val="00CE1522"/>
    <w:rsid w:val="00D22B82"/>
    <w:rsid w:val="00D31C5F"/>
    <w:rsid w:val="00D507FA"/>
    <w:rsid w:val="00D51A21"/>
    <w:rsid w:val="00D64D37"/>
    <w:rsid w:val="00D94342"/>
    <w:rsid w:val="00DA52E3"/>
    <w:rsid w:val="00DB5B7B"/>
    <w:rsid w:val="00DC07C5"/>
    <w:rsid w:val="00DC1972"/>
    <w:rsid w:val="00DC28B6"/>
    <w:rsid w:val="00DD569D"/>
    <w:rsid w:val="00DE6723"/>
    <w:rsid w:val="00E05E07"/>
    <w:rsid w:val="00E06DB2"/>
    <w:rsid w:val="00E14F26"/>
    <w:rsid w:val="00E20421"/>
    <w:rsid w:val="00E8245B"/>
    <w:rsid w:val="00E9768C"/>
    <w:rsid w:val="00EA3E94"/>
    <w:rsid w:val="00EC0989"/>
    <w:rsid w:val="00EF111E"/>
    <w:rsid w:val="00EF4A3A"/>
    <w:rsid w:val="00F10F31"/>
    <w:rsid w:val="00F171E8"/>
    <w:rsid w:val="00F3445F"/>
    <w:rsid w:val="00F46030"/>
    <w:rsid w:val="00F823A6"/>
    <w:rsid w:val="00F9320A"/>
    <w:rsid w:val="00F95D8A"/>
    <w:rsid w:val="00FC1273"/>
    <w:rsid w:val="00FC3FAE"/>
    <w:rsid w:val="00FC70E3"/>
    <w:rsid w:val="00FE0786"/>
    <w:rsid w:val="00FF0BBB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ED3AC-2617-4080-AFEF-17C57B10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505213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25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250B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link w:val="a7"/>
    <w:uiPriority w:val="99"/>
    <w:semiHidden/>
    <w:unhideWhenUsed/>
    <w:rsid w:val="0050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Звичайний (веб) Знак"/>
    <w:link w:val="a6"/>
    <w:uiPriority w:val="99"/>
    <w:semiHidden/>
    <w:locked/>
    <w:rsid w:val="0066602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66027"/>
    <w:pPr>
      <w:spacing w:line="256" w:lineRule="auto"/>
      <w:ind w:left="720"/>
      <w:contextualSpacing/>
    </w:pPr>
  </w:style>
  <w:style w:type="paragraph" w:styleId="a9">
    <w:name w:val="No Spacing"/>
    <w:uiPriority w:val="1"/>
    <w:qFormat/>
    <w:rsid w:val="00987D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E6147-F955-4DED-BEB7-BFEB50C5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7703</Words>
  <Characters>4392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Fedoruk</cp:lastModifiedBy>
  <cp:revision>70</cp:revision>
  <cp:lastPrinted>2026-04-16T11:53:00Z</cp:lastPrinted>
  <dcterms:created xsi:type="dcterms:W3CDTF">2025-04-07T13:44:00Z</dcterms:created>
  <dcterms:modified xsi:type="dcterms:W3CDTF">2026-04-21T08:15:00Z</dcterms:modified>
</cp:coreProperties>
</file>